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EC" w:rsidRPr="00367CB1" w:rsidRDefault="00D624C2" w:rsidP="000E3BEC">
      <w:pPr>
        <w:rPr>
          <w:b/>
          <w:color w:val="0070C0"/>
          <w:sz w:val="32"/>
          <w:szCs w:val="32"/>
        </w:rPr>
      </w:pPr>
      <w:r>
        <w:t xml:space="preserve">Please </w:t>
      </w:r>
      <w:r w:rsidR="00367CB1">
        <w:t xml:space="preserve">familiarize yourself with the </w:t>
      </w:r>
      <w:hyperlink r:id="rId8" w:history="1">
        <w:r w:rsidR="00367CB1" w:rsidRPr="00E410A6">
          <w:rPr>
            <w:rStyle w:val="Hyperlink"/>
          </w:rPr>
          <w:t>Loess Hills Missouri River Region Parks to People Plan</w:t>
        </w:r>
      </w:hyperlink>
      <w:r w:rsidR="00367CB1">
        <w:t xml:space="preserve"> and Prioritization Criteria before completing</w:t>
      </w:r>
      <w:r>
        <w:t xml:space="preserve"> the following information</w:t>
      </w:r>
      <w:r w:rsidR="00367CB1">
        <w:t>.  Applications will be accepted on a rolling basis and reviewed at least quarterly</w:t>
      </w:r>
      <w:r w:rsidR="00367CB1" w:rsidRPr="000E3BEC">
        <w:t xml:space="preserve">.  </w:t>
      </w:r>
      <w:r w:rsidR="000E3BEC" w:rsidRPr="000E3BEC">
        <w:t xml:space="preserve">Eligible Projects </w:t>
      </w:r>
      <w:r w:rsidR="0071193F">
        <w:t>must</w:t>
      </w:r>
      <w:r w:rsidR="000E3BEC" w:rsidRPr="000E3BEC">
        <w:t xml:space="preserve"> have a start date no sooner than September 11, 2017 and must be ready for fund allocation by December of 2020.</w:t>
      </w:r>
    </w:p>
    <w:p w:rsidR="00D624C2" w:rsidRDefault="00367CB1" w:rsidP="00592707">
      <w:r>
        <w:t xml:space="preserve">Submit completed application via mail or in person to Michelle Wodtke Franks, 712 S Hwy 6, </w:t>
      </w:r>
      <w:proofErr w:type="gramStart"/>
      <w:r>
        <w:t>Oakland</w:t>
      </w:r>
      <w:proofErr w:type="gramEnd"/>
      <w:r>
        <w:t xml:space="preserve">, IA 51560 or via email to </w:t>
      </w:r>
      <w:hyperlink r:id="rId9" w:history="1">
        <w:r w:rsidRPr="00E96693">
          <w:rPr>
            <w:rStyle w:val="Hyperlink"/>
          </w:rPr>
          <w:t>michelle@goldenhillsrcd.org</w:t>
        </w:r>
      </w:hyperlink>
      <w:r>
        <w:t>.  Please contact Michelle at 712-482-3029 with any questions.</w:t>
      </w:r>
    </w:p>
    <w:p w:rsidR="0054268E" w:rsidRDefault="00F40DC8" w:rsidP="0054268E">
      <w:r>
        <w:t>C</w:t>
      </w:r>
      <w:r w:rsidR="00887F86">
        <w:t>riteria of personal interest</w:t>
      </w:r>
      <w:r w:rsidR="00481157">
        <w:t xml:space="preserve"> to</w:t>
      </w:r>
      <w:r w:rsidR="00887F86">
        <w:t xml:space="preserve"> the LHMRR are as follows:</w:t>
      </w:r>
    </w:p>
    <w:p w:rsidR="00887F86" w:rsidRDefault="00203D21" w:rsidP="00592707">
      <w:pPr>
        <w:pStyle w:val="ListParagraph"/>
        <w:numPr>
          <w:ilvl w:val="0"/>
          <w:numId w:val="5"/>
        </w:numPr>
        <w:ind w:left="360"/>
      </w:pPr>
      <w:r>
        <w:rPr>
          <w:b/>
        </w:rPr>
        <w:t xml:space="preserve">Regional Impact – </w:t>
      </w:r>
      <w:r w:rsidRPr="00203D21">
        <w:t xml:space="preserve">Viable </w:t>
      </w:r>
      <w:r w:rsidR="00887F86">
        <w:t xml:space="preserve">projects </w:t>
      </w:r>
      <w:r w:rsidR="0071193F">
        <w:t xml:space="preserve">that </w:t>
      </w:r>
      <w:r w:rsidR="00887F86">
        <w:t>address the whole region directly (as do many of the touring initiatives, for example) or are easily replicable through the region.</w:t>
      </w:r>
      <w:bookmarkStart w:id="0" w:name="_GoBack"/>
      <w:bookmarkEnd w:id="0"/>
    </w:p>
    <w:p w:rsidR="00887F86" w:rsidRDefault="00887F86" w:rsidP="00592707">
      <w:pPr>
        <w:pStyle w:val="ListParagraph"/>
        <w:numPr>
          <w:ilvl w:val="0"/>
          <w:numId w:val="5"/>
        </w:numPr>
        <w:ind w:left="360"/>
      </w:pPr>
      <w:r>
        <w:rPr>
          <w:b/>
        </w:rPr>
        <w:t>Promotes regional culture and historical significance –</w:t>
      </w:r>
      <w:r>
        <w:t xml:space="preserve"> The heritage features within this region are rich but unsung.  Artists and artisans finding homes in the area are looking to join forces for regional impact and should be supported.</w:t>
      </w:r>
    </w:p>
    <w:p w:rsidR="00887F86" w:rsidRDefault="00887F86" w:rsidP="00592707">
      <w:pPr>
        <w:pStyle w:val="ListParagraph"/>
        <w:numPr>
          <w:ilvl w:val="0"/>
          <w:numId w:val="5"/>
        </w:numPr>
        <w:ind w:left="360"/>
      </w:pPr>
      <w:r>
        <w:rPr>
          <w:b/>
        </w:rPr>
        <w:t>Educational –</w:t>
      </w:r>
      <w:r>
        <w:t xml:space="preserve"> While educational features can certainly serve as tourism attractors, it is just as important to identify the means to help residents understand their region’s many unique assets.  </w:t>
      </w:r>
    </w:p>
    <w:p w:rsidR="00887F86" w:rsidRDefault="00887F86" w:rsidP="00592707">
      <w:pPr>
        <w:pStyle w:val="ListParagraph"/>
        <w:numPr>
          <w:ilvl w:val="0"/>
          <w:numId w:val="5"/>
        </w:numPr>
        <w:ind w:left="360"/>
      </w:pPr>
      <w:r>
        <w:rPr>
          <w:b/>
        </w:rPr>
        <w:t>Sustainable –</w:t>
      </w:r>
      <w:r>
        <w:t xml:space="preserve"> As the natural resources of the region support the livelihoods of so many and prompt a </w:t>
      </w:r>
      <w:r w:rsidR="006A0685">
        <w:t>long-term future in economic development and tourism, those resources’ value must be maintained through restoration or preservation and protection.</w:t>
      </w:r>
    </w:p>
    <w:p w:rsidR="006A0685" w:rsidRDefault="006A0685" w:rsidP="00592707">
      <w:pPr>
        <w:pStyle w:val="ListParagraph"/>
        <w:numPr>
          <w:ilvl w:val="0"/>
          <w:numId w:val="5"/>
        </w:numPr>
        <w:ind w:left="360"/>
      </w:pPr>
      <w:r>
        <w:rPr>
          <w:b/>
        </w:rPr>
        <w:t>Marketable –</w:t>
      </w:r>
      <w:r>
        <w:t xml:space="preserve"> Lev</w:t>
      </w:r>
      <w:r w:rsidR="00ED50D7">
        <w:t xml:space="preserve">erage the region’s location as </w:t>
      </w:r>
      <w:r>
        <w:t>a Midwestern hub, nestled among Des Moines and Omaha, Kansas City and Sioux City, and along I-80 and I-29.  This criteria gets to the recognition of the tourism potential (external and internal) of the region.</w:t>
      </w:r>
    </w:p>
    <w:p w:rsidR="006A0685" w:rsidRDefault="006A0685" w:rsidP="00592707">
      <w:pPr>
        <w:pStyle w:val="ListParagraph"/>
        <w:numPr>
          <w:ilvl w:val="0"/>
          <w:numId w:val="5"/>
        </w:numPr>
        <w:ind w:left="360"/>
      </w:pPr>
      <w:r>
        <w:rPr>
          <w:b/>
        </w:rPr>
        <w:t xml:space="preserve">Has </w:t>
      </w:r>
      <w:r w:rsidR="0071193F">
        <w:rPr>
          <w:b/>
        </w:rPr>
        <w:t xml:space="preserve">demonstrated </w:t>
      </w:r>
      <w:r w:rsidRPr="006A0685">
        <w:rPr>
          <w:b/>
        </w:rPr>
        <w:t>community buy-in, public support, volunteerism –</w:t>
      </w:r>
      <w:r>
        <w:t xml:space="preserve"> This region will only pursue efforts that have community support.  We won’t be successful if residents aren’t willing to engage.</w:t>
      </w:r>
    </w:p>
    <w:p w:rsidR="006A0685" w:rsidRDefault="006A0685" w:rsidP="006A0685">
      <w:pPr>
        <w:pStyle w:val="ListParagraph"/>
        <w:numPr>
          <w:ilvl w:val="0"/>
          <w:numId w:val="5"/>
        </w:numPr>
        <w:ind w:left="360"/>
      </w:pPr>
      <w:r>
        <w:rPr>
          <w:b/>
        </w:rPr>
        <w:t>Has access to resources/funding –</w:t>
      </w:r>
      <w:r>
        <w:t xml:space="preserve"> Assessment of initiatives includes likely access to resources to make a project happen.</w:t>
      </w:r>
    </w:p>
    <w:p w:rsidR="006A0685" w:rsidRDefault="006A0685" w:rsidP="006A0685">
      <w:pPr>
        <w:pStyle w:val="ListParagraph"/>
        <w:numPr>
          <w:ilvl w:val="0"/>
          <w:numId w:val="5"/>
        </w:numPr>
        <w:ind w:left="360"/>
      </w:pPr>
      <w:r>
        <w:rPr>
          <w:b/>
        </w:rPr>
        <w:t>Positively impacts diverse users –</w:t>
      </w:r>
      <w:r>
        <w:t xml:space="preserve"> This reflects the increasing diversity of the region and the capacity for successful tourism with improved understanding of the needs of diverse audiences.</w:t>
      </w:r>
    </w:p>
    <w:p w:rsidR="006A0685" w:rsidRDefault="006A0685" w:rsidP="006A0685">
      <w:pPr>
        <w:pStyle w:val="ListParagraph"/>
        <w:numPr>
          <w:ilvl w:val="0"/>
          <w:numId w:val="5"/>
        </w:numPr>
        <w:ind w:left="360"/>
      </w:pPr>
      <w:r>
        <w:rPr>
          <w:b/>
        </w:rPr>
        <w:t>Enhances current facilities and programs –</w:t>
      </w:r>
      <w:r>
        <w:t xml:space="preserve"> Developed programs and facilities are working in concert with the existing infrastructure and amenities that the region already employs.</w:t>
      </w:r>
    </w:p>
    <w:p w:rsidR="006A0685" w:rsidRDefault="006A0685" w:rsidP="006A0685">
      <w:pPr>
        <w:pStyle w:val="ListParagraph"/>
        <w:numPr>
          <w:ilvl w:val="0"/>
          <w:numId w:val="5"/>
        </w:numPr>
        <w:ind w:left="360"/>
      </w:pPr>
      <w:r>
        <w:rPr>
          <w:b/>
        </w:rPr>
        <w:t xml:space="preserve">Celebrates our public park system – </w:t>
      </w:r>
      <w:r>
        <w:t>All projects focus on getting people connected with their environment through the existing network of state, county, and city parks.</w:t>
      </w:r>
    </w:p>
    <w:p w:rsidR="00C91C74" w:rsidRDefault="00C91C74" w:rsidP="00BC588A">
      <w:pPr>
        <w:pStyle w:val="ListParagraph"/>
        <w:numPr>
          <w:ilvl w:val="0"/>
          <w:numId w:val="5"/>
        </w:numPr>
        <w:ind w:left="360"/>
      </w:pPr>
      <w:r w:rsidRPr="00C91C74">
        <w:rPr>
          <w:b/>
        </w:rPr>
        <w:t>Distinctive Character –</w:t>
      </w:r>
      <w:r>
        <w:t xml:space="preserve"> Projects that are attractive, unique, and iconic.</w:t>
      </w:r>
    </w:p>
    <w:p w:rsidR="00C91C74" w:rsidRDefault="00C91C74" w:rsidP="00BC588A">
      <w:pPr>
        <w:pStyle w:val="ListParagraph"/>
        <w:numPr>
          <w:ilvl w:val="0"/>
          <w:numId w:val="5"/>
        </w:numPr>
        <w:ind w:left="360"/>
      </w:pPr>
      <w:r w:rsidRPr="00C91C74">
        <w:rPr>
          <w:b/>
        </w:rPr>
        <w:t>Shovel-Ready –</w:t>
      </w:r>
      <w:r>
        <w:t xml:space="preserve"> Projects that are already planned out and ready for implementation.</w:t>
      </w:r>
    </w:p>
    <w:p w:rsidR="00C91C74" w:rsidRDefault="00C91C74" w:rsidP="00BC588A">
      <w:pPr>
        <w:pStyle w:val="ListParagraph"/>
        <w:numPr>
          <w:ilvl w:val="0"/>
          <w:numId w:val="5"/>
        </w:numPr>
        <w:ind w:left="360"/>
      </w:pPr>
      <w:r w:rsidRPr="00C91C74">
        <w:rPr>
          <w:b/>
        </w:rPr>
        <w:t>Addresses Strategic Directions –</w:t>
      </w:r>
      <w:r w:rsidR="00BC588A">
        <w:t xml:space="preserve"> Aligns</w:t>
      </w:r>
      <w:r>
        <w:t xml:space="preserve"> with the approved Plan.</w:t>
      </w:r>
    </w:p>
    <w:p w:rsidR="00A76325" w:rsidRDefault="00F40DC8">
      <w:pPr>
        <w:rPr>
          <w:b/>
          <w:i/>
        </w:rPr>
      </w:pPr>
      <w:r>
        <w:t xml:space="preserve">No point system has been assigned to the criteria.  The Board will work on the basis of consensus, taking into account the previously-identified criteria, and reach a collective understanding of the opportunities and challenges inherent in the proposed projects.  </w:t>
      </w:r>
      <w:r w:rsidR="0071193F" w:rsidRPr="0071193F">
        <w:rPr>
          <w:b/>
          <w:i/>
        </w:rPr>
        <w:t>Funding pledged by the LHMRR Board must be matched 5:1 by public, private and in-kind sources for your project.</w:t>
      </w:r>
    </w:p>
    <w:p w:rsidR="00A76325" w:rsidRDefault="00A76325">
      <w:pPr>
        <w:rPr>
          <w:b/>
          <w:i/>
        </w:rPr>
      </w:pPr>
    </w:p>
    <w:p w:rsidR="00367CB1" w:rsidRPr="00A76325" w:rsidRDefault="00A76325" w:rsidP="00A76325">
      <w:pPr>
        <w:jc w:val="center"/>
        <w:rPr>
          <w:sz w:val="28"/>
          <w:szCs w:val="28"/>
        </w:rPr>
      </w:pPr>
      <w:r>
        <w:rPr>
          <w:b/>
          <w:i/>
          <w:sz w:val="28"/>
          <w:szCs w:val="28"/>
        </w:rPr>
        <w:t xml:space="preserve">Link to the Plan and more information @ </w:t>
      </w:r>
      <w:hyperlink r:id="rId10" w:history="1">
        <w:r w:rsidRPr="00853365">
          <w:rPr>
            <w:rStyle w:val="Hyperlink"/>
            <w:b/>
            <w:i/>
            <w:sz w:val="28"/>
            <w:szCs w:val="28"/>
          </w:rPr>
          <w:t>www.goldenhillsrcd.org/lhmrr</w:t>
        </w:r>
      </w:hyperlink>
      <w:r>
        <w:rPr>
          <w:b/>
          <w:i/>
          <w:sz w:val="28"/>
          <w:szCs w:val="28"/>
        </w:rPr>
        <w:t xml:space="preserve"> </w:t>
      </w:r>
    </w:p>
    <w:p w:rsidR="000E3BEC" w:rsidRDefault="000E3BEC" w:rsidP="00203D21">
      <w:pPr>
        <w:rPr>
          <w:b/>
        </w:rPr>
      </w:pPr>
    </w:p>
    <w:p w:rsidR="00367CB1" w:rsidRPr="0071193F" w:rsidRDefault="00367CB1" w:rsidP="00203D21">
      <w:pPr>
        <w:rPr>
          <w:b/>
          <w:u w:val="single"/>
        </w:rPr>
      </w:pPr>
      <w:r w:rsidRPr="008E7681">
        <w:rPr>
          <w:b/>
        </w:rPr>
        <w:t>Applicant Organization:</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7D21A4" w:rsidRPr="0071193F" w:rsidRDefault="007D21A4" w:rsidP="00203D21">
      <w:pPr>
        <w:rPr>
          <w:b/>
          <w:u w:val="single"/>
        </w:rPr>
      </w:pPr>
      <w:r w:rsidRPr="008E7681">
        <w:rPr>
          <w:b/>
        </w:rPr>
        <w:t>Address:</w:t>
      </w:r>
      <w:r w:rsidR="0071193F" w:rsidRPr="008E7681">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Pr="008E7681">
        <w:rPr>
          <w:b/>
        </w:rPr>
        <w:t>County:</w:t>
      </w:r>
      <w:r w:rsidR="0071193F">
        <w:rPr>
          <w:b/>
        </w:rPr>
        <w:t xml:space="preserve"> </w:t>
      </w:r>
      <w:r w:rsidR="0071193F">
        <w:rPr>
          <w:b/>
          <w:u w:val="single"/>
        </w:rPr>
        <w:tab/>
      </w:r>
      <w:r w:rsidR="0071193F">
        <w:rPr>
          <w:b/>
          <w:u w:val="single"/>
        </w:rPr>
        <w:tab/>
      </w:r>
      <w:r w:rsidR="0071193F">
        <w:rPr>
          <w:b/>
          <w:u w:val="single"/>
        </w:rPr>
        <w:tab/>
      </w:r>
    </w:p>
    <w:p w:rsidR="007D21A4" w:rsidRPr="0071193F" w:rsidRDefault="007D21A4" w:rsidP="00203D21">
      <w:pPr>
        <w:rPr>
          <w:b/>
          <w:u w:val="single"/>
        </w:rPr>
      </w:pPr>
      <w:r w:rsidRPr="008E7681">
        <w:rPr>
          <w:b/>
        </w:rPr>
        <w:t>Phone:</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Pr="008E7681">
        <w:rPr>
          <w:b/>
        </w:rPr>
        <w:t xml:space="preserve"> Website</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7D21A4" w:rsidRPr="0071193F" w:rsidRDefault="007D21A4" w:rsidP="00203D21">
      <w:pPr>
        <w:rPr>
          <w:b/>
          <w:u w:val="single"/>
        </w:rPr>
      </w:pPr>
      <w:r w:rsidRPr="008E7681">
        <w:rPr>
          <w:b/>
        </w:rPr>
        <w:t>Contact Person:</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Pr="008E7681">
        <w:rPr>
          <w:b/>
        </w:rPr>
        <w:t xml:space="preserve">  Email:</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7D21A4" w:rsidRPr="0071193F" w:rsidRDefault="007D21A4" w:rsidP="00203D21">
      <w:pPr>
        <w:rPr>
          <w:b/>
          <w:u w:val="single"/>
        </w:rPr>
      </w:pPr>
      <w:r w:rsidRPr="008E7681">
        <w:rPr>
          <w:b/>
        </w:rPr>
        <w:t>Type of Organization:</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8E7681">
        <w:rPr>
          <w:b/>
        </w:rPr>
        <w:t xml:space="preserve"> Federal TIN</w:t>
      </w:r>
      <w:r w:rsidR="0071193F">
        <w:rPr>
          <w:b/>
        </w:rPr>
        <w:t>:</w:t>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7D21A4" w:rsidRPr="0071193F" w:rsidRDefault="008E7681" w:rsidP="00203D21">
      <w:pPr>
        <w:rPr>
          <w:b/>
          <w:u w:val="single"/>
        </w:rPr>
      </w:pPr>
      <w:r>
        <w:rPr>
          <w:b/>
        </w:rPr>
        <w:t>Project Title:</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7D21A4" w:rsidRPr="0071193F" w:rsidRDefault="007D21A4" w:rsidP="00203D21">
      <w:pPr>
        <w:rPr>
          <w:b/>
          <w:u w:val="single"/>
        </w:rPr>
      </w:pPr>
      <w:r w:rsidRPr="008E7681">
        <w:rPr>
          <w:b/>
        </w:rPr>
        <w:t>Project Location:</w:t>
      </w:r>
      <w:r w:rsidR="0071193F">
        <w:rPr>
          <w:b/>
        </w:rPr>
        <w:t xml:space="preserve"> </w:t>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r w:rsidR="0071193F">
        <w:rPr>
          <w:b/>
          <w:u w:val="single"/>
        </w:rPr>
        <w:tab/>
      </w:r>
    </w:p>
    <w:p w:rsidR="008E7681" w:rsidRPr="00381227" w:rsidRDefault="008E7681" w:rsidP="007D21A4">
      <w:pPr>
        <w:rPr>
          <w:b/>
          <w:sz w:val="20"/>
          <w:szCs w:val="20"/>
        </w:rPr>
      </w:pPr>
      <w:r w:rsidRPr="00381227">
        <w:rPr>
          <w:b/>
          <w:sz w:val="20"/>
          <w:szCs w:val="20"/>
        </w:rPr>
        <w:t>Project Description</w:t>
      </w:r>
      <w:r w:rsidR="0071193F" w:rsidRPr="00381227">
        <w:rPr>
          <w:b/>
          <w:sz w:val="20"/>
          <w:szCs w:val="20"/>
        </w:rPr>
        <w:t xml:space="preserve"> </w:t>
      </w:r>
      <w:r w:rsidR="0071193F" w:rsidRPr="00381227">
        <w:rPr>
          <w:i/>
          <w:sz w:val="20"/>
          <w:szCs w:val="20"/>
        </w:rPr>
        <w:t>(Limit to 200 words)</w:t>
      </w:r>
      <w:r w:rsidRPr="00381227">
        <w:rPr>
          <w:b/>
          <w:sz w:val="20"/>
          <w:szCs w:val="20"/>
        </w:rPr>
        <w:t>:</w:t>
      </w:r>
      <w:r w:rsidR="0071193F" w:rsidRPr="00381227">
        <w:rPr>
          <w:b/>
          <w:sz w:val="20"/>
          <w:szCs w:val="20"/>
        </w:rPr>
        <w:t xml:space="preserve"> </w:t>
      </w:r>
    </w:p>
    <w:p w:rsidR="0071193F" w:rsidRDefault="0071193F" w:rsidP="007D21A4">
      <w:pPr>
        <w:rPr>
          <w:b/>
        </w:rPr>
      </w:pPr>
    </w:p>
    <w:p w:rsidR="00381227" w:rsidRDefault="00381227" w:rsidP="007D21A4">
      <w:pPr>
        <w:rPr>
          <w:b/>
        </w:rPr>
      </w:pPr>
    </w:p>
    <w:p w:rsidR="0071193F" w:rsidRPr="00381227" w:rsidRDefault="0097747E" w:rsidP="007D21A4">
      <w:pPr>
        <w:rPr>
          <w:b/>
          <w:sz w:val="20"/>
          <w:szCs w:val="20"/>
        </w:rPr>
      </w:pPr>
      <w:r w:rsidRPr="00381227">
        <w:rPr>
          <w:b/>
          <w:sz w:val="20"/>
          <w:szCs w:val="20"/>
        </w:rPr>
        <w:t>W</w:t>
      </w:r>
      <w:r w:rsidR="003F3BA3" w:rsidRPr="00381227">
        <w:rPr>
          <w:b/>
          <w:sz w:val="20"/>
          <w:szCs w:val="20"/>
        </w:rPr>
        <w:t>ith w</w:t>
      </w:r>
      <w:r w:rsidRPr="00381227">
        <w:rPr>
          <w:b/>
          <w:sz w:val="20"/>
          <w:szCs w:val="20"/>
        </w:rPr>
        <w:t>hich of the following</w:t>
      </w:r>
      <w:r w:rsidR="007D21A4" w:rsidRPr="00381227">
        <w:rPr>
          <w:b/>
          <w:sz w:val="20"/>
          <w:szCs w:val="20"/>
        </w:rPr>
        <w:t xml:space="preserve"> </w:t>
      </w:r>
      <w:r w:rsidR="003F3BA3" w:rsidRPr="00381227">
        <w:rPr>
          <w:b/>
          <w:sz w:val="20"/>
          <w:szCs w:val="20"/>
        </w:rPr>
        <w:t xml:space="preserve">LHMRR </w:t>
      </w:r>
      <w:r w:rsidR="007D21A4" w:rsidRPr="00381227">
        <w:rPr>
          <w:b/>
          <w:sz w:val="20"/>
          <w:szCs w:val="20"/>
        </w:rPr>
        <w:t xml:space="preserve">Priority Initiatives does this project align? </w:t>
      </w:r>
    </w:p>
    <w:p w:rsidR="0071193F" w:rsidRPr="003F3BA3" w:rsidRDefault="003F3BA3" w:rsidP="007D21A4">
      <w:pPr>
        <w:rPr>
          <w:sz w:val="18"/>
          <w:szCs w:val="18"/>
        </w:rPr>
      </w:pPr>
      <w:r>
        <w:rPr>
          <w:sz w:val="18"/>
          <w:szCs w:val="18"/>
        </w:rPr>
        <w:sym w:font="Webdings" w:char="F063"/>
      </w:r>
      <w:r>
        <w:rPr>
          <w:sz w:val="18"/>
          <w:szCs w:val="18"/>
        </w:rPr>
        <w:t xml:space="preserve"> Loess Discovery Web</w:t>
      </w:r>
      <w:r>
        <w:rPr>
          <w:sz w:val="18"/>
          <w:szCs w:val="18"/>
        </w:rPr>
        <w:tab/>
      </w:r>
      <w:r>
        <w:rPr>
          <w:sz w:val="18"/>
          <w:szCs w:val="18"/>
        </w:rPr>
        <w:sym w:font="Webdings" w:char="F063"/>
      </w:r>
      <w:r>
        <w:rPr>
          <w:sz w:val="18"/>
          <w:szCs w:val="18"/>
        </w:rPr>
        <w:t xml:space="preserve"> Frontier Iowa Trails</w:t>
      </w:r>
      <w:r>
        <w:rPr>
          <w:sz w:val="18"/>
          <w:szCs w:val="18"/>
        </w:rPr>
        <w:tab/>
      </w:r>
      <w:r>
        <w:rPr>
          <w:sz w:val="18"/>
          <w:szCs w:val="18"/>
        </w:rPr>
        <w:sym w:font="Webdings" w:char="F063"/>
      </w:r>
      <w:r>
        <w:rPr>
          <w:sz w:val="18"/>
          <w:szCs w:val="18"/>
        </w:rPr>
        <w:t xml:space="preserve"> </w:t>
      </w:r>
      <w:r w:rsidRPr="003F3BA3">
        <w:rPr>
          <w:sz w:val="18"/>
          <w:szCs w:val="18"/>
        </w:rPr>
        <w:t>Loess Art &amp; Nature Loop</w:t>
      </w:r>
      <w:r w:rsidRPr="003F3BA3">
        <w:rPr>
          <w:sz w:val="18"/>
          <w:szCs w:val="18"/>
        </w:rPr>
        <w:tab/>
      </w:r>
      <w:r>
        <w:rPr>
          <w:sz w:val="18"/>
          <w:szCs w:val="18"/>
        </w:rPr>
        <w:t xml:space="preserve">       </w:t>
      </w:r>
      <w:r>
        <w:rPr>
          <w:sz w:val="18"/>
          <w:szCs w:val="18"/>
        </w:rPr>
        <w:sym w:font="Webdings" w:char="F063"/>
      </w:r>
      <w:r>
        <w:rPr>
          <w:sz w:val="18"/>
          <w:szCs w:val="18"/>
        </w:rPr>
        <w:t xml:space="preserve"> Rivers&amp; Ridges: Explore</w:t>
      </w:r>
    </w:p>
    <w:p w:rsidR="007D21A4" w:rsidRPr="00381227" w:rsidRDefault="007D21A4" w:rsidP="007D21A4">
      <w:pPr>
        <w:rPr>
          <w:b/>
          <w:sz w:val="20"/>
          <w:szCs w:val="20"/>
        </w:rPr>
      </w:pPr>
      <w:r w:rsidRPr="00381227">
        <w:rPr>
          <w:b/>
          <w:sz w:val="20"/>
          <w:szCs w:val="20"/>
        </w:rPr>
        <w:t>Please write a brief description of</w:t>
      </w:r>
      <w:r w:rsidR="0097747E" w:rsidRPr="00381227">
        <w:rPr>
          <w:b/>
          <w:sz w:val="20"/>
          <w:szCs w:val="20"/>
        </w:rPr>
        <w:t xml:space="preserve"> how your project fits into the</w:t>
      </w:r>
      <w:r w:rsidRPr="00381227">
        <w:rPr>
          <w:b/>
          <w:sz w:val="20"/>
          <w:szCs w:val="20"/>
        </w:rPr>
        <w:t xml:space="preserve"> initiative area </w:t>
      </w:r>
      <w:r w:rsidR="008E7681" w:rsidRPr="00381227">
        <w:rPr>
          <w:b/>
          <w:sz w:val="20"/>
          <w:szCs w:val="20"/>
        </w:rPr>
        <w:t>for each that is applicable</w:t>
      </w:r>
      <w:r w:rsidR="003F3BA3" w:rsidRPr="00381227">
        <w:rPr>
          <w:b/>
          <w:sz w:val="20"/>
          <w:szCs w:val="20"/>
        </w:rPr>
        <w:t>. Who are the beneficiaries or users of the proposed project?</w:t>
      </w:r>
      <w:r w:rsidR="0071193F" w:rsidRPr="00381227">
        <w:rPr>
          <w:b/>
          <w:sz w:val="20"/>
          <w:szCs w:val="20"/>
        </w:rPr>
        <w:t xml:space="preserve"> </w:t>
      </w:r>
      <w:r w:rsidR="0071193F" w:rsidRPr="00381227">
        <w:rPr>
          <w:i/>
          <w:sz w:val="20"/>
          <w:szCs w:val="20"/>
        </w:rPr>
        <w:t>(Limit to 200 words)</w:t>
      </w:r>
      <w:r w:rsidRPr="00381227">
        <w:rPr>
          <w:b/>
          <w:sz w:val="20"/>
          <w:szCs w:val="20"/>
        </w:rPr>
        <w:t>.</w:t>
      </w:r>
    </w:p>
    <w:p w:rsidR="00DA6620" w:rsidRDefault="00DA6620" w:rsidP="00203D21">
      <w:pPr>
        <w:rPr>
          <w:b/>
          <w:sz w:val="20"/>
          <w:szCs w:val="20"/>
        </w:rPr>
      </w:pPr>
    </w:p>
    <w:p w:rsidR="00381227" w:rsidRPr="00381227" w:rsidRDefault="00381227" w:rsidP="00203D21">
      <w:pPr>
        <w:rPr>
          <w:b/>
          <w:sz w:val="20"/>
          <w:szCs w:val="20"/>
        </w:rPr>
      </w:pPr>
    </w:p>
    <w:p w:rsidR="007D21A4" w:rsidRPr="00381227" w:rsidRDefault="00F40DC8" w:rsidP="00203D21">
      <w:pPr>
        <w:rPr>
          <w:b/>
          <w:sz w:val="20"/>
          <w:szCs w:val="20"/>
        </w:rPr>
      </w:pPr>
      <w:r w:rsidRPr="00381227">
        <w:rPr>
          <w:b/>
          <w:sz w:val="20"/>
          <w:szCs w:val="20"/>
        </w:rPr>
        <w:t>Summarize Project Timeline</w:t>
      </w:r>
      <w:r w:rsidR="006327C5" w:rsidRPr="00381227">
        <w:rPr>
          <w:b/>
          <w:sz w:val="20"/>
          <w:szCs w:val="20"/>
        </w:rPr>
        <w:t xml:space="preserve"> </w:t>
      </w:r>
      <w:r w:rsidR="006327C5" w:rsidRPr="00381227">
        <w:rPr>
          <w:i/>
          <w:sz w:val="20"/>
          <w:szCs w:val="20"/>
        </w:rPr>
        <w:t>(</w:t>
      </w:r>
      <w:r w:rsidR="00381227" w:rsidRPr="00381227">
        <w:rPr>
          <w:i/>
          <w:sz w:val="20"/>
          <w:szCs w:val="20"/>
        </w:rPr>
        <w:t>i.e., Funding</w:t>
      </w:r>
      <w:r w:rsidR="006327C5" w:rsidRPr="00381227">
        <w:rPr>
          <w:i/>
          <w:sz w:val="20"/>
          <w:szCs w:val="20"/>
        </w:rPr>
        <w:t xml:space="preserve"> campaign</w:t>
      </w:r>
      <w:r w:rsidR="00381227" w:rsidRPr="00381227">
        <w:rPr>
          <w:i/>
          <w:sz w:val="20"/>
          <w:szCs w:val="20"/>
        </w:rPr>
        <w:t xml:space="preserve"> begins, construction begins, project completion, etc.)</w:t>
      </w:r>
      <w:r w:rsidR="00DA6620" w:rsidRPr="00381227">
        <w:rPr>
          <w:b/>
          <w:sz w:val="20"/>
          <w:szCs w:val="20"/>
        </w:rPr>
        <w:t>:</w:t>
      </w:r>
    </w:p>
    <w:p w:rsidR="00DA6620" w:rsidRDefault="00DA6620" w:rsidP="00203D21">
      <w:pPr>
        <w:rPr>
          <w:b/>
        </w:rPr>
      </w:pPr>
    </w:p>
    <w:p w:rsidR="00381227" w:rsidRDefault="00381227" w:rsidP="00203D21">
      <w:pPr>
        <w:rPr>
          <w:b/>
        </w:rPr>
      </w:pPr>
    </w:p>
    <w:p w:rsidR="0071193F" w:rsidRPr="00381227" w:rsidRDefault="00DA6620" w:rsidP="00DA6620">
      <w:pPr>
        <w:spacing w:after="0"/>
        <w:rPr>
          <w:b/>
          <w:sz w:val="20"/>
          <w:szCs w:val="20"/>
        </w:rPr>
      </w:pPr>
      <w:r w:rsidRPr="00381227">
        <w:rPr>
          <w:b/>
          <w:sz w:val="20"/>
          <w:szCs w:val="20"/>
        </w:rPr>
        <w:t>Proposed Budget:</w:t>
      </w:r>
    </w:p>
    <w:tbl>
      <w:tblPr>
        <w:tblStyle w:val="TableGrid"/>
        <w:tblW w:w="0" w:type="auto"/>
        <w:tblInd w:w="108" w:type="dxa"/>
        <w:tblLook w:val="04A0" w:firstRow="1" w:lastRow="0" w:firstColumn="1" w:lastColumn="0" w:noHBand="0" w:noVBand="1"/>
      </w:tblPr>
      <w:tblGrid>
        <w:gridCol w:w="3084"/>
        <w:gridCol w:w="3192"/>
        <w:gridCol w:w="3192"/>
      </w:tblGrid>
      <w:tr w:rsidR="0071193F" w:rsidTr="00DA6620">
        <w:tc>
          <w:tcPr>
            <w:tcW w:w="3084" w:type="dxa"/>
            <w:shd w:val="clear" w:color="auto" w:fill="BFBFBF" w:themeFill="background1" w:themeFillShade="BF"/>
          </w:tcPr>
          <w:p w:rsidR="0071193F" w:rsidRDefault="0071193F" w:rsidP="00DA6620">
            <w:pPr>
              <w:jc w:val="center"/>
              <w:rPr>
                <w:b/>
              </w:rPr>
            </w:pPr>
            <w:r>
              <w:rPr>
                <w:b/>
              </w:rPr>
              <w:t>Expense</w:t>
            </w:r>
          </w:p>
        </w:tc>
        <w:tc>
          <w:tcPr>
            <w:tcW w:w="3192" w:type="dxa"/>
            <w:shd w:val="clear" w:color="auto" w:fill="BFBFBF" w:themeFill="background1" w:themeFillShade="BF"/>
          </w:tcPr>
          <w:p w:rsidR="0071193F" w:rsidRDefault="0071193F" w:rsidP="00DA6620">
            <w:pPr>
              <w:jc w:val="center"/>
              <w:rPr>
                <w:b/>
              </w:rPr>
            </w:pPr>
            <w:r>
              <w:rPr>
                <w:b/>
              </w:rPr>
              <w:t>Description</w:t>
            </w:r>
          </w:p>
        </w:tc>
        <w:tc>
          <w:tcPr>
            <w:tcW w:w="3192" w:type="dxa"/>
            <w:shd w:val="clear" w:color="auto" w:fill="BFBFBF" w:themeFill="background1" w:themeFillShade="BF"/>
          </w:tcPr>
          <w:p w:rsidR="0071193F" w:rsidRDefault="0071193F" w:rsidP="00DA6620">
            <w:pPr>
              <w:jc w:val="center"/>
              <w:rPr>
                <w:b/>
              </w:rPr>
            </w:pPr>
            <w:r>
              <w:rPr>
                <w:b/>
              </w:rPr>
              <w:t>Amount</w:t>
            </w:r>
          </w:p>
        </w:tc>
      </w:tr>
      <w:tr w:rsidR="0071193F" w:rsidTr="00DA6620">
        <w:tc>
          <w:tcPr>
            <w:tcW w:w="3084" w:type="dxa"/>
          </w:tcPr>
          <w:p w:rsidR="0071193F" w:rsidRPr="003F3BA3" w:rsidRDefault="0071193F" w:rsidP="00203D21">
            <w:pPr>
              <w:rPr>
                <w:i/>
              </w:rPr>
            </w:pPr>
            <w:r w:rsidRPr="003F3BA3">
              <w:rPr>
                <w:i/>
              </w:rPr>
              <w:t>Construction</w:t>
            </w:r>
          </w:p>
        </w:tc>
        <w:tc>
          <w:tcPr>
            <w:tcW w:w="3192" w:type="dxa"/>
          </w:tcPr>
          <w:p w:rsidR="0071193F" w:rsidRDefault="0071193F" w:rsidP="00203D21">
            <w:pPr>
              <w:rPr>
                <w:b/>
              </w:rPr>
            </w:pPr>
          </w:p>
        </w:tc>
        <w:tc>
          <w:tcPr>
            <w:tcW w:w="3192" w:type="dxa"/>
          </w:tcPr>
          <w:p w:rsidR="0071193F" w:rsidRDefault="0071193F" w:rsidP="00203D21">
            <w:pPr>
              <w:rPr>
                <w:b/>
              </w:rPr>
            </w:pPr>
          </w:p>
        </w:tc>
      </w:tr>
      <w:tr w:rsidR="0071193F" w:rsidTr="00DA6620">
        <w:tc>
          <w:tcPr>
            <w:tcW w:w="3084" w:type="dxa"/>
          </w:tcPr>
          <w:p w:rsidR="0071193F" w:rsidRPr="003F3BA3" w:rsidRDefault="0071193F" w:rsidP="00203D21">
            <w:pPr>
              <w:rPr>
                <w:i/>
              </w:rPr>
            </w:pPr>
            <w:r w:rsidRPr="003F3BA3">
              <w:rPr>
                <w:i/>
              </w:rPr>
              <w:t>Labor</w:t>
            </w:r>
          </w:p>
        </w:tc>
        <w:tc>
          <w:tcPr>
            <w:tcW w:w="3192" w:type="dxa"/>
          </w:tcPr>
          <w:p w:rsidR="0071193F" w:rsidRDefault="0071193F" w:rsidP="00203D21">
            <w:pPr>
              <w:rPr>
                <w:b/>
              </w:rPr>
            </w:pPr>
          </w:p>
        </w:tc>
        <w:tc>
          <w:tcPr>
            <w:tcW w:w="3192" w:type="dxa"/>
          </w:tcPr>
          <w:p w:rsidR="0071193F" w:rsidRDefault="0071193F" w:rsidP="00203D21">
            <w:pPr>
              <w:rPr>
                <w:b/>
              </w:rPr>
            </w:pPr>
          </w:p>
        </w:tc>
      </w:tr>
      <w:tr w:rsidR="00DA6620" w:rsidTr="00DA6620">
        <w:tc>
          <w:tcPr>
            <w:tcW w:w="3084" w:type="dxa"/>
          </w:tcPr>
          <w:p w:rsidR="00DA6620" w:rsidRPr="003F3BA3" w:rsidRDefault="00DA6620" w:rsidP="00203D21">
            <w:pPr>
              <w:rPr>
                <w:i/>
              </w:rPr>
            </w:pPr>
            <w:r>
              <w:rPr>
                <w:i/>
              </w:rPr>
              <w:t>Materials</w:t>
            </w:r>
          </w:p>
        </w:tc>
        <w:tc>
          <w:tcPr>
            <w:tcW w:w="3192" w:type="dxa"/>
          </w:tcPr>
          <w:p w:rsidR="00DA6620" w:rsidRDefault="00DA6620" w:rsidP="00203D21">
            <w:pPr>
              <w:rPr>
                <w:b/>
              </w:rPr>
            </w:pPr>
          </w:p>
        </w:tc>
        <w:tc>
          <w:tcPr>
            <w:tcW w:w="3192" w:type="dxa"/>
          </w:tcPr>
          <w:p w:rsidR="00DA6620" w:rsidRDefault="00DA6620" w:rsidP="00203D21">
            <w:pPr>
              <w:rPr>
                <w:b/>
              </w:rPr>
            </w:pPr>
          </w:p>
        </w:tc>
      </w:tr>
      <w:tr w:rsidR="0071193F" w:rsidTr="00DA6620">
        <w:tc>
          <w:tcPr>
            <w:tcW w:w="3084" w:type="dxa"/>
          </w:tcPr>
          <w:p w:rsidR="0071193F" w:rsidRPr="003F3BA3" w:rsidRDefault="0071193F" w:rsidP="00203D21">
            <w:pPr>
              <w:rPr>
                <w:i/>
              </w:rPr>
            </w:pPr>
            <w:r w:rsidRPr="003F3BA3">
              <w:rPr>
                <w:i/>
              </w:rPr>
              <w:t>Consultant</w:t>
            </w:r>
            <w:r w:rsidR="00DA6620">
              <w:rPr>
                <w:i/>
              </w:rPr>
              <w:t xml:space="preserve"> fees</w:t>
            </w:r>
          </w:p>
        </w:tc>
        <w:tc>
          <w:tcPr>
            <w:tcW w:w="3192" w:type="dxa"/>
          </w:tcPr>
          <w:p w:rsidR="0071193F" w:rsidRDefault="0071193F" w:rsidP="00203D21">
            <w:pPr>
              <w:rPr>
                <w:b/>
              </w:rPr>
            </w:pPr>
          </w:p>
        </w:tc>
        <w:tc>
          <w:tcPr>
            <w:tcW w:w="3192" w:type="dxa"/>
          </w:tcPr>
          <w:p w:rsidR="0071193F" w:rsidRDefault="0071193F" w:rsidP="00203D21">
            <w:pPr>
              <w:rPr>
                <w:b/>
              </w:rPr>
            </w:pPr>
          </w:p>
        </w:tc>
      </w:tr>
      <w:tr w:rsidR="0071193F" w:rsidTr="00DA6620">
        <w:tc>
          <w:tcPr>
            <w:tcW w:w="3084" w:type="dxa"/>
          </w:tcPr>
          <w:p w:rsidR="0071193F" w:rsidRPr="003F3BA3" w:rsidRDefault="003F3BA3" w:rsidP="00203D21">
            <w:pPr>
              <w:rPr>
                <w:i/>
              </w:rPr>
            </w:pPr>
            <w:r w:rsidRPr="003F3BA3">
              <w:rPr>
                <w:i/>
              </w:rPr>
              <w:t>Other</w:t>
            </w:r>
          </w:p>
        </w:tc>
        <w:tc>
          <w:tcPr>
            <w:tcW w:w="3192" w:type="dxa"/>
          </w:tcPr>
          <w:p w:rsidR="0071193F" w:rsidRDefault="0071193F" w:rsidP="00203D21">
            <w:pPr>
              <w:rPr>
                <w:b/>
              </w:rPr>
            </w:pPr>
          </w:p>
        </w:tc>
        <w:tc>
          <w:tcPr>
            <w:tcW w:w="3192" w:type="dxa"/>
          </w:tcPr>
          <w:p w:rsidR="0071193F" w:rsidRDefault="0071193F" w:rsidP="00203D21">
            <w:pPr>
              <w:rPr>
                <w:b/>
              </w:rPr>
            </w:pPr>
          </w:p>
        </w:tc>
      </w:tr>
      <w:tr w:rsidR="003F3BA3" w:rsidTr="00DA6620">
        <w:tc>
          <w:tcPr>
            <w:tcW w:w="6276" w:type="dxa"/>
            <w:gridSpan w:val="2"/>
            <w:vAlign w:val="bottom"/>
          </w:tcPr>
          <w:p w:rsidR="003F3BA3" w:rsidRDefault="003F3BA3" w:rsidP="003F3BA3">
            <w:pPr>
              <w:jc w:val="right"/>
              <w:rPr>
                <w:b/>
              </w:rPr>
            </w:pPr>
            <w:r>
              <w:rPr>
                <w:b/>
              </w:rPr>
              <w:t>TOTAL</w:t>
            </w:r>
          </w:p>
        </w:tc>
        <w:tc>
          <w:tcPr>
            <w:tcW w:w="3192" w:type="dxa"/>
          </w:tcPr>
          <w:p w:rsidR="003F3BA3" w:rsidRDefault="003F3BA3" w:rsidP="00203D21">
            <w:pPr>
              <w:rPr>
                <w:b/>
              </w:rPr>
            </w:pPr>
          </w:p>
        </w:tc>
      </w:tr>
    </w:tbl>
    <w:p w:rsidR="008E7681" w:rsidRDefault="008E7681" w:rsidP="00203D21">
      <w:pPr>
        <w:rPr>
          <w:b/>
        </w:rPr>
      </w:pPr>
    </w:p>
    <w:tbl>
      <w:tblPr>
        <w:tblStyle w:val="TableGrid"/>
        <w:tblW w:w="0" w:type="auto"/>
        <w:tblInd w:w="108" w:type="dxa"/>
        <w:tblLook w:val="04A0" w:firstRow="1" w:lastRow="0" w:firstColumn="1" w:lastColumn="0" w:noHBand="0" w:noVBand="1"/>
      </w:tblPr>
      <w:tblGrid>
        <w:gridCol w:w="2880"/>
        <w:gridCol w:w="3690"/>
        <w:gridCol w:w="1080"/>
        <w:gridCol w:w="1818"/>
      </w:tblGrid>
      <w:tr w:rsidR="00DA6620" w:rsidTr="00DA6620">
        <w:tc>
          <w:tcPr>
            <w:tcW w:w="2880" w:type="dxa"/>
            <w:shd w:val="clear" w:color="auto" w:fill="BFBFBF" w:themeFill="background1" w:themeFillShade="BF"/>
          </w:tcPr>
          <w:p w:rsidR="00DA6620" w:rsidRDefault="00DA6620" w:rsidP="00DA6620">
            <w:pPr>
              <w:jc w:val="center"/>
              <w:rPr>
                <w:b/>
              </w:rPr>
            </w:pPr>
            <w:r>
              <w:rPr>
                <w:b/>
              </w:rPr>
              <w:t>Revenue</w:t>
            </w:r>
          </w:p>
        </w:tc>
        <w:tc>
          <w:tcPr>
            <w:tcW w:w="3690" w:type="dxa"/>
            <w:shd w:val="clear" w:color="auto" w:fill="BFBFBF" w:themeFill="background1" w:themeFillShade="BF"/>
          </w:tcPr>
          <w:p w:rsidR="00DA6620" w:rsidRDefault="00DA6620" w:rsidP="00DA6620">
            <w:pPr>
              <w:jc w:val="center"/>
              <w:rPr>
                <w:b/>
              </w:rPr>
            </w:pPr>
            <w:r>
              <w:rPr>
                <w:b/>
              </w:rPr>
              <w:t>Source</w:t>
            </w:r>
          </w:p>
        </w:tc>
        <w:tc>
          <w:tcPr>
            <w:tcW w:w="1080" w:type="dxa"/>
            <w:shd w:val="clear" w:color="auto" w:fill="BFBFBF" w:themeFill="background1" w:themeFillShade="BF"/>
          </w:tcPr>
          <w:p w:rsidR="00DA6620" w:rsidRDefault="00DA6620" w:rsidP="00DA6620">
            <w:pPr>
              <w:jc w:val="center"/>
              <w:rPr>
                <w:b/>
              </w:rPr>
            </w:pPr>
            <w:r>
              <w:rPr>
                <w:b/>
              </w:rPr>
              <w:t>Secured?</w:t>
            </w:r>
          </w:p>
        </w:tc>
        <w:tc>
          <w:tcPr>
            <w:tcW w:w="1818" w:type="dxa"/>
            <w:shd w:val="clear" w:color="auto" w:fill="BFBFBF" w:themeFill="background1" w:themeFillShade="BF"/>
          </w:tcPr>
          <w:p w:rsidR="00DA6620" w:rsidRDefault="00DA6620" w:rsidP="00DA6620">
            <w:pPr>
              <w:jc w:val="center"/>
              <w:rPr>
                <w:b/>
              </w:rPr>
            </w:pPr>
            <w:r>
              <w:rPr>
                <w:b/>
              </w:rPr>
              <w:t>Amount</w:t>
            </w:r>
          </w:p>
        </w:tc>
      </w:tr>
      <w:tr w:rsidR="00DA6620" w:rsidTr="00DA6620">
        <w:tc>
          <w:tcPr>
            <w:tcW w:w="2880" w:type="dxa"/>
          </w:tcPr>
          <w:p w:rsidR="00DA6620" w:rsidRPr="003F3BA3" w:rsidRDefault="00DA6620" w:rsidP="000617C5">
            <w:pPr>
              <w:rPr>
                <w:i/>
              </w:rPr>
            </w:pPr>
            <w:r>
              <w:rPr>
                <w:i/>
              </w:rPr>
              <w:t>Public Funding</w:t>
            </w:r>
          </w:p>
        </w:tc>
        <w:tc>
          <w:tcPr>
            <w:tcW w:w="3690" w:type="dxa"/>
          </w:tcPr>
          <w:p w:rsidR="00DA6620" w:rsidRDefault="00DA6620" w:rsidP="000617C5">
            <w:pPr>
              <w:rPr>
                <w:b/>
              </w:rPr>
            </w:pPr>
          </w:p>
        </w:tc>
        <w:tc>
          <w:tcPr>
            <w:tcW w:w="1080" w:type="dxa"/>
          </w:tcPr>
          <w:p w:rsidR="00DA6620" w:rsidRPr="00DA6620" w:rsidRDefault="00DA6620" w:rsidP="00DA6620">
            <w:pPr>
              <w:jc w:val="center"/>
              <w:rPr>
                <w:i/>
              </w:rPr>
            </w:pPr>
            <w:r>
              <w:rPr>
                <w:i/>
              </w:rPr>
              <w:t xml:space="preserve"> </w:t>
            </w:r>
          </w:p>
        </w:tc>
        <w:tc>
          <w:tcPr>
            <w:tcW w:w="1818" w:type="dxa"/>
          </w:tcPr>
          <w:p w:rsidR="00DA6620" w:rsidRDefault="00DA6620" w:rsidP="000617C5">
            <w:pPr>
              <w:rPr>
                <w:b/>
              </w:rPr>
            </w:pPr>
          </w:p>
        </w:tc>
      </w:tr>
      <w:tr w:rsidR="00DA6620" w:rsidTr="00DA6620">
        <w:tc>
          <w:tcPr>
            <w:tcW w:w="2880" w:type="dxa"/>
          </w:tcPr>
          <w:p w:rsidR="00DA6620" w:rsidRPr="003F3BA3" w:rsidRDefault="00DA6620" w:rsidP="000617C5">
            <w:pPr>
              <w:rPr>
                <w:i/>
              </w:rPr>
            </w:pPr>
            <w:r>
              <w:rPr>
                <w:i/>
              </w:rPr>
              <w:t>Private Funding</w:t>
            </w:r>
          </w:p>
        </w:tc>
        <w:tc>
          <w:tcPr>
            <w:tcW w:w="3690" w:type="dxa"/>
          </w:tcPr>
          <w:p w:rsidR="00DA6620" w:rsidRDefault="00DA6620" w:rsidP="000617C5">
            <w:pPr>
              <w:rPr>
                <w:b/>
              </w:rPr>
            </w:pPr>
          </w:p>
        </w:tc>
        <w:tc>
          <w:tcPr>
            <w:tcW w:w="1080" w:type="dxa"/>
          </w:tcPr>
          <w:p w:rsidR="00DA6620" w:rsidRDefault="00DA6620" w:rsidP="000617C5">
            <w:pPr>
              <w:rPr>
                <w:b/>
              </w:rPr>
            </w:pPr>
          </w:p>
        </w:tc>
        <w:tc>
          <w:tcPr>
            <w:tcW w:w="1818" w:type="dxa"/>
          </w:tcPr>
          <w:p w:rsidR="00DA6620" w:rsidRDefault="00DA6620" w:rsidP="000617C5">
            <w:pPr>
              <w:rPr>
                <w:b/>
              </w:rPr>
            </w:pPr>
          </w:p>
        </w:tc>
      </w:tr>
      <w:tr w:rsidR="00DA6620" w:rsidTr="00DA6620">
        <w:tc>
          <w:tcPr>
            <w:tcW w:w="2880" w:type="dxa"/>
          </w:tcPr>
          <w:p w:rsidR="00DA6620" w:rsidRPr="003F3BA3" w:rsidRDefault="00DA6620" w:rsidP="000617C5">
            <w:pPr>
              <w:rPr>
                <w:i/>
              </w:rPr>
            </w:pPr>
            <w:r>
              <w:rPr>
                <w:i/>
              </w:rPr>
              <w:t>In-kind Labor</w:t>
            </w:r>
          </w:p>
        </w:tc>
        <w:tc>
          <w:tcPr>
            <w:tcW w:w="3690" w:type="dxa"/>
          </w:tcPr>
          <w:p w:rsidR="00DA6620" w:rsidRDefault="00DA6620" w:rsidP="000617C5">
            <w:pPr>
              <w:rPr>
                <w:b/>
              </w:rPr>
            </w:pPr>
          </w:p>
        </w:tc>
        <w:tc>
          <w:tcPr>
            <w:tcW w:w="1080" w:type="dxa"/>
          </w:tcPr>
          <w:p w:rsidR="00DA6620" w:rsidRDefault="00DA6620" w:rsidP="000617C5">
            <w:pPr>
              <w:rPr>
                <w:b/>
              </w:rPr>
            </w:pPr>
          </w:p>
        </w:tc>
        <w:tc>
          <w:tcPr>
            <w:tcW w:w="1818" w:type="dxa"/>
          </w:tcPr>
          <w:p w:rsidR="00DA6620" w:rsidRDefault="00DA6620" w:rsidP="000617C5">
            <w:pPr>
              <w:rPr>
                <w:b/>
              </w:rPr>
            </w:pPr>
          </w:p>
        </w:tc>
      </w:tr>
      <w:tr w:rsidR="00DA6620" w:rsidTr="00DA6620">
        <w:tc>
          <w:tcPr>
            <w:tcW w:w="2880" w:type="dxa"/>
          </w:tcPr>
          <w:p w:rsidR="00DA6620" w:rsidRPr="003F3BA3" w:rsidRDefault="00DA6620" w:rsidP="000617C5">
            <w:pPr>
              <w:rPr>
                <w:i/>
              </w:rPr>
            </w:pPr>
            <w:r w:rsidRPr="003F3BA3">
              <w:rPr>
                <w:i/>
              </w:rPr>
              <w:t>In-kind materials/equipment</w:t>
            </w:r>
          </w:p>
        </w:tc>
        <w:tc>
          <w:tcPr>
            <w:tcW w:w="3690" w:type="dxa"/>
          </w:tcPr>
          <w:p w:rsidR="00DA6620" w:rsidRDefault="00DA6620" w:rsidP="000617C5">
            <w:pPr>
              <w:rPr>
                <w:b/>
              </w:rPr>
            </w:pPr>
          </w:p>
        </w:tc>
        <w:tc>
          <w:tcPr>
            <w:tcW w:w="1080" w:type="dxa"/>
          </w:tcPr>
          <w:p w:rsidR="00DA6620" w:rsidRDefault="00DA6620" w:rsidP="000617C5">
            <w:pPr>
              <w:rPr>
                <w:b/>
              </w:rPr>
            </w:pPr>
          </w:p>
        </w:tc>
        <w:tc>
          <w:tcPr>
            <w:tcW w:w="1818" w:type="dxa"/>
          </w:tcPr>
          <w:p w:rsidR="00DA6620" w:rsidRDefault="00DA6620" w:rsidP="000617C5">
            <w:pPr>
              <w:rPr>
                <w:b/>
              </w:rPr>
            </w:pPr>
          </w:p>
        </w:tc>
      </w:tr>
      <w:tr w:rsidR="00DA6620" w:rsidTr="00DA6620">
        <w:tc>
          <w:tcPr>
            <w:tcW w:w="7650" w:type="dxa"/>
            <w:gridSpan w:val="3"/>
            <w:shd w:val="clear" w:color="auto" w:fill="FFD966" w:themeFill="accent4" w:themeFillTint="99"/>
          </w:tcPr>
          <w:p w:rsidR="00DA6620" w:rsidRPr="00DA6620" w:rsidRDefault="00DA6620" w:rsidP="000617C5">
            <w:pPr>
              <w:rPr>
                <w:b/>
              </w:rPr>
            </w:pPr>
            <w:r w:rsidRPr="00DA6620">
              <w:rPr>
                <w:b/>
                <w:i/>
              </w:rPr>
              <w:t>Amount requested from LHMRR</w:t>
            </w:r>
          </w:p>
        </w:tc>
        <w:tc>
          <w:tcPr>
            <w:tcW w:w="1818" w:type="dxa"/>
          </w:tcPr>
          <w:p w:rsidR="00DA6620" w:rsidRDefault="00DA6620" w:rsidP="000617C5">
            <w:pPr>
              <w:rPr>
                <w:b/>
              </w:rPr>
            </w:pPr>
          </w:p>
        </w:tc>
      </w:tr>
      <w:tr w:rsidR="00DA6620" w:rsidTr="00DA6620">
        <w:tc>
          <w:tcPr>
            <w:tcW w:w="6570" w:type="dxa"/>
            <w:gridSpan w:val="2"/>
            <w:vAlign w:val="bottom"/>
          </w:tcPr>
          <w:p w:rsidR="00DA6620" w:rsidRDefault="00DA6620" w:rsidP="000617C5">
            <w:pPr>
              <w:jc w:val="right"/>
              <w:rPr>
                <w:b/>
              </w:rPr>
            </w:pPr>
            <w:r>
              <w:rPr>
                <w:b/>
              </w:rPr>
              <w:t>TOTAL</w:t>
            </w:r>
          </w:p>
        </w:tc>
        <w:tc>
          <w:tcPr>
            <w:tcW w:w="1080" w:type="dxa"/>
          </w:tcPr>
          <w:p w:rsidR="00DA6620" w:rsidRDefault="00DA6620" w:rsidP="000617C5">
            <w:pPr>
              <w:rPr>
                <w:b/>
              </w:rPr>
            </w:pPr>
          </w:p>
        </w:tc>
        <w:tc>
          <w:tcPr>
            <w:tcW w:w="1818" w:type="dxa"/>
          </w:tcPr>
          <w:p w:rsidR="00DA6620" w:rsidRDefault="00DA6620" w:rsidP="000617C5">
            <w:pPr>
              <w:rPr>
                <w:b/>
              </w:rPr>
            </w:pPr>
          </w:p>
        </w:tc>
      </w:tr>
    </w:tbl>
    <w:p w:rsidR="003F3BA3" w:rsidRDefault="003F3BA3" w:rsidP="00203D21">
      <w:pPr>
        <w:rPr>
          <w:b/>
        </w:rPr>
      </w:pPr>
    </w:p>
    <w:p w:rsidR="00381227" w:rsidRDefault="00381227" w:rsidP="00203D21"/>
    <w:p w:rsidR="00381227" w:rsidRDefault="00381227" w:rsidP="00381227">
      <w:pPr>
        <w:spacing w:line="240" w:lineRule="auto"/>
        <w:rPr>
          <w:sz w:val="20"/>
          <w:szCs w:val="20"/>
        </w:rPr>
      </w:pPr>
    </w:p>
    <w:p w:rsidR="00F40DC8" w:rsidRPr="00381227" w:rsidRDefault="00F40DC8" w:rsidP="00381227">
      <w:pPr>
        <w:spacing w:line="240" w:lineRule="auto"/>
        <w:rPr>
          <w:sz w:val="20"/>
          <w:szCs w:val="20"/>
        </w:rPr>
      </w:pPr>
      <w:r w:rsidRPr="00381227">
        <w:rPr>
          <w:sz w:val="20"/>
          <w:szCs w:val="20"/>
        </w:rPr>
        <w:t>You are encouraged to attach additional documents or samples from other proposals which you feel will be of use to the Loess Hills Missouri River Region Board when considering your application.</w:t>
      </w:r>
    </w:p>
    <w:p w:rsidR="00F40DC8" w:rsidRPr="00381227" w:rsidRDefault="00F40DC8" w:rsidP="00381227">
      <w:pPr>
        <w:spacing w:line="240" w:lineRule="auto"/>
        <w:rPr>
          <w:sz w:val="20"/>
          <w:szCs w:val="20"/>
        </w:rPr>
      </w:pPr>
      <w:r w:rsidRPr="00381227">
        <w:rPr>
          <w:sz w:val="20"/>
          <w:szCs w:val="20"/>
        </w:rPr>
        <w:t>If selected for funding commitment, the applicant must comply with all match requirements, publicity terms and additional terms set forth by the Loess Hills Missouri River Region Board, Iowa Parks Foundation and MidAmerican Energy Foundation.</w:t>
      </w:r>
    </w:p>
    <w:p w:rsidR="00381227" w:rsidRPr="009D672B" w:rsidRDefault="00381227" w:rsidP="00381227">
      <w:pPr>
        <w:spacing w:after="0"/>
        <w:rPr>
          <w:b/>
          <w:sz w:val="20"/>
          <w:szCs w:val="20"/>
          <w:u w:val="single"/>
        </w:rPr>
      </w:pPr>
      <w:r w:rsidRPr="009D672B">
        <w:rPr>
          <w:b/>
          <w:sz w:val="20"/>
          <w:szCs w:val="20"/>
          <w:u w:val="single"/>
        </w:rPr>
        <w:t>5:1 Match Requirements</w:t>
      </w:r>
    </w:p>
    <w:p w:rsidR="00381227" w:rsidRPr="00381227" w:rsidRDefault="00381227" w:rsidP="00381227">
      <w:pPr>
        <w:spacing w:line="226" w:lineRule="auto"/>
        <w:rPr>
          <w:rFonts w:cstheme="minorHAnsi"/>
          <w:color w:val="000000"/>
          <w:sz w:val="20"/>
          <w:szCs w:val="20"/>
        </w:rPr>
      </w:pPr>
      <w:r w:rsidRPr="00381227">
        <w:rPr>
          <w:rFonts w:cstheme="minorHAnsi"/>
          <w:color w:val="000000"/>
          <w:sz w:val="20"/>
          <w:szCs w:val="20"/>
        </w:rPr>
        <w:t xml:space="preserve">Grantee shall match all grant funds received under </w:t>
      </w:r>
      <w:r>
        <w:rPr>
          <w:rFonts w:cstheme="minorHAnsi"/>
          <w:color w:val="000000"/>
          <w:sz w:val="20"/>
          <w:szCs w:val="20"/>
        </w:rPr>
        <w:t>an approved</w:t>
      </w:r>
      <w:r w:rsidRPr="00381227">
        <w:rPr>
          <w:rFonts w:cstheme="minorHAnsi"/>
          <w:color w:val="000000"/>
          <w:sz w:val="20"/>
          <w:szCs w:val="20"/>
        </w:rPr>
        <w:t xml:space="preserve"> Agreement on a five (5) to one (1) basis, including private sector cash raised. </w:t>
      </w:r>
      <w:proofErr w:type="gramStart"/>
      <w:r w:rsidRPr="00381227">
        <w:rPr>
          <w:rFonts w:cstheme="minorHAnsi"/>
          <w:color w:val="000000"/>
          <w:sz w:val="20"/>
          <w:szCs w:val="20"/>
        </w:rPr>
        <w:t>in-kind</w:t>
      </w:r>
      <w:proofErr w:type="gramEnd"/>
      <w:r w:rsidRPr="00381227">
        <w:rPr>
          <w:rFonts w:cstheme="minorHAnsi"/>
          <w:color w:val="000000"/>
          <w:sz w:val="20"/>
          <w:szCs w:val="20"/>
        </w:rPr>
        <w:t xml:space="preserve"> volunteer time match, in-kind donated materials or land match, and other sources.  The match shall be determined as follows:</w:t>
      </w:r>
    </w:p>
    <w:p w:rsidR="00381227" w:rsidRPr="00381227" w:rsidRDefault="00381227" w:rsidP="00381227">
      <w:pPr>
        <w:pStyle w:val="ListParagraph"/>
        <w:numPr>
          <w:ilvl w:val="0"/>
          <w:numId w:val="7"/>
        </w:numPr>
        <w:spacing w:after="0" w:line="226" w:lineRule="auto"/>
        <w:rPr>
          <w:rFonts w:cstheme="minorHAnsi"/>
          <w:color w:val="000000"/>
          <w:sz w:val="20"/>
          <w:szCs w:val="20"/>
        </w:rPr>
      </w:pPr>
      <w:r w:rsidRPr="00381227">
        <w:rPr>
          <w:rFonts w:cstheme="minorHAnsi"/>
          <w:color w:val="000000"/>
          <w:sz w:val="20"/>
          <w:szCs w:val="20"/>
          <w:u w:val="single"/>
        </w:rPr>
        <w:t>Private Sector Cash Raised</w:t>
      </w:r>
      <w:r w:rsidRPr="00381227">
        <w:rPr>
          <w:rFonts w:cstheme="minorHAnsi"/>
          <w:color w:val="000000"/>
          <w:sz w:val="20"/>
          <w:szCs w:val="20"/>
        </w:rPr>
        <w:t xml:space="preserve">.  Private sector cash accumulation starts on the date the Project is first approved by IPF.  This private sector cash accumulation includes non-governmental cash in US Dollars, whether it is contributed by an individual, foundation, corporation or other private entity, </w:t>
      </w:r>
      <w:r w:rsidRPr="00381227">
        <w:rPr>
          <w:rFonts w:cstheme="minorHAnsi"/>
          <w:i/>
          <w:color w:val="000000"/>
          <w:sz w:val="20"/>
          <w:szCs w:val="20"/>
        </w:rPr>
        <w:t xml:space="preserve">totaling at least </w:t>
      </w:r>
      <w:r w:rsidRPr="00381227">
        <w:rPr>
          <w:rFonts w:cstheme="minorHAnsi"/>
          <w:color w:val="000000"/>
          <w:sz w:val="20"/>
          <w:szCs w:val="20"/>
        </w:rPr>
        <w:t>16.67% of the total value of the Project.  The private sector cash accumulation may include funds that are simultaneously used to satisfy any match requirements related to private foundation grants or governmental grants for the Project.</w:t>
      </w:r>
    </w:p>
    <w:p w:rsidR="00381227" w:rsidRPr="00381227" w:rsidRDefault="00381227" w:rsidP="00381227">
      <w:pPr>
        <w:pStyle w:val="ListParagraph"/>
        <w:numPr>
          <w:ilvl w:val="0"/>
          <w:numId w:val="7"/>
        </w:numPr>
        <w:spacing w:after="0" w:line="226" w:lineRule="auto"/>
        <w:rPr>
          <w:rFonts w:cstheme="minorHAnsi"/>
          <w:color w:val="000000"/>
          <w:sz w:val="20"/>
          <w:szCs w:val="20"/>
        </w:rPr>
      </w:pPr>
      <w:r w:rsidRPr="00381227">
        <w:rPr>
          <w:rFonts w:cstheme="minorHAnsi"/>
          <w:color w:val="000000"/>
          <w:sz w:val="20"/>
          <w:szCs w:val="20"/>
          <w:u w:val="single"/>
        </w:rPr>
        <w:t>In-kind Volunteer Labor</w:t>
      </w:r>
      <w:r w:rsidRPr="00381227">
        <w:rPr>
          <w:rFonts w:cstheme="minorHAnsi"/>
          <w:color w:val="000000"/>
          <w:sz w:val="20"/>
          <w:szCs w:val="20"/>
        </w:rPr>
        <w:t xml:space="preserve">.  Accumulation of In-kind volunteer time starts on the date the Project is first approved by IPF.  These individual hours must be recorded and maintained, by person, hours, date and general activity.  All such volunteer time is deemed valued according to then applicable Financial Accounting Standards Board guidelines, up to a </w:t>
      </w:r>
      <w:r w:rsidRPr="00381227">
        <w:rPr>
          <w:rFonts w:cstheme="minorHAnsi"/>
          <w:i/>
          <w:color w:val="000000"/>
          <w:sz w:val="20"/>
          <w:szCs w:val="20"/>
        </w:rPr>
        <w:t>maximum</w:t>
      </w:r>
      <w:r w:rsidRPr="00381227">
        <w:rPr>
          <w:rFonts w:cstheme="minorHAnsi"/>
          <w:color w:val="000000"/>
          <w:sz w:val="20"/>
          <w:szCs w:val="20"/>
        </w:rPr>
        <w:t xml:space="preserve"> of a </w:t>
      </w:r>
      <w:r w:rsidRPr="00381227">
        <w:rPr>
          <w:rFonts w:cstheme="minorHAnsi"/>
          <w:i/>
          <w:color w:val="000000"/>
          <w:sz w:val="20"/>
          <w:szCs w:val="20"/>
        </w:rPr>
        <w:t>combined</w:t>
      </w:r>
      <w:r w:rsidRPr="00381227">
        <w:rPr>
          <w:rFonts w:cstheme="minorHAnsi"/>
          <w:color w:val="000000"/>
          <w:sz w:val="20"/>
          <w:szCs w:val="20"/>
        </w:rPr>
        <w:t xml:space="preserve"> 16.67% (with in-kind donated materials and land) of the total value of the Project.  Such volunteer time includes, but is not limited to time spend on project coordination, implementation, construction and professional services. In-Kind volunteer labor currently calculated at $21.75 per hour and in-kind donated professional services, land or other capital assets calculated at local fair-market value.</w:t>
      </w:r>
    </w:p>
    <w:p w:rsidR="00381227" w:rsidRPr="00381227" w:rsidRDefault="00381227" w:rsidP="00381227">
      <w:pPr>
        <w:pStyle w:val="ListParagraph"/>
        <w:numPr>
          <w:ilvl w:val="0"/>
          <w:numId w:val="7"/>
        </w:numPr>
        <w:spacing w:after="0" w:line="226" w:lineRule="auto"/>
        <w:rPr>
          <w:rFonts w:cstheme="minorHAnsi"/>
          <w:color w:val="000000"/>
          <w:sz w:val="20"/>
          <w:szCs w:val="20"/>
        </w:rPr>
      </w:pPr>
      <w:r w:rsidRPr="00381227">
        <w:rPr>
          <w:rFonts w:cstheme="minorHAnsi"/>
          <w:color w:val="000000"/>
          <w:sz w:val="20"/>
          <w:szCs w:val="20"/>
          <w:u w:val="single"/>
        </w:rPr>
        <w:t>In-kind Donated Materials and Land</w:t>
      </w:r>
      <w:r w:rsidRPr="00381227">
        <w:rPr>
          <w:rFonts w:cstheme="minorHAnsi"/>
          <w:color w:val="000000"/>
          <w:sz w:val="20"/>
          <w:szCs w:val="20"/>
        </w:rPr>
        <w:t xml:space="preserve">.  Accumulation of in-kind donations of </w:t>
      </w:r>
      <w:r w:rsidRPr="00381227">
        <w:rPr>
          <w:rFonts w:cstheme="minorHAnsi"/>
          <w:i/>
          <w:color w:val="000000"/>
          <w:sz w:val="20"/>
          <w:szCs w:val="20"/>
        </w:rPr>
        <w:t>land or a permanent conservation easement</w:t>
      </w:r>
      <w:r w:rsidRPr="00381227">
        <w:rPr>
          <w:rFonts w:cstheme="minorHAnsi"/>
          <w:color w:val="000000"/>
          <w:sz w:val="20"/>
          <w:szCs w:val="20"/>
        </w:rPr>
        <w:t xml:space="preserve"> for the Project starts within two (2) years of </w:t>
      </w:r>
      <w:r w:rsidRPr="00381227">
        <w:rPr>
          <w:rFonts w:cstheme="minorHAnsi"/>
          <w:sz w:val="20"/>
          <w:szCs w:val="20"/>
        </w:rPr>
        <w:t>the date the Grantee Project was approved</w:t>
      </w:r>
      <w:r w:rsidRPr="00381227">
        <w:rPr>
          <w:rFonts w:cstheme="minorHAnsi"/>
          <w:color w:val="000000"/>
          <w:sz w:val="20"/>
          <w:szCs w:val="20"/>
        </w:rPr>
        <w:t xml:space="preserve">.  Accumulation of in-kind donations of </w:t>
      </w:r>
      <w:r w:rsidRPr="00381227">
        <w:rPr>
          <w:rFonts w:cstheme="minorHAnsi"/>
          <w:i/>
          <w:color w:val="000000"/>
          <w:sz w:val="20"/>
          <w:szCs w:val="20"/>
        </w:rPr>
        <w:t xml:space="preserve">materials </w:t>
      </w:r>
      <w:r w:rsidRPr="00381227">
        <w:rPr>
          <w:rFonts w:cstheme="minorHAnsi"/>
          <w:color w:val="000000"/>
          <w:sz w:val="20"/>
          <w:szCs w:val="20"/>
        </w:rPr>
        <w:t xml:space="preserve">for the Project starts on </w:t>
      </w:r>
      <w:r w:rsidRPr="00381227">
        <w:rPr>
          <w:rFonts w:cstheme="minorHAnsi"/>
          <w:sz w:val="20"/>
          <w:szCs w:val="20"/>
        </w:rPr>
        <w:t>the date the Grantee Project was approved</w:t>
      </w:r>
      <w:r w:rsidRPr="00381227">
        <w:rPr>
          <w:rFonts w:cstheme="minorHAnsi"/>
          <w:color w:val="000000"/>
          <w:sz w:val="20"/>
          <w:szCs w:val="20"/>
        </w:rPr>
        <w:t xml:space="preserve">.  All such In-kind donations of materials, permanent conservation easements and land is deemed valued according to then applicable Financial Accounting Standards Board guidelines, up to a </w:t>
      </w:r>
      <w:r w:rsidRPr="00381227">
        <w:rPr>
          <w:rFonts w:cstheme="minorHAnsi"/>
          <w:i/>
          <w:color w:val="000000"/>
          <w:sz w:val="20"/>
          <w:szCs w:val="20"/>
        </w:rPr>
        <w:t>maximum</w:t>
      </w:r>
      <w:r w:rsidRPr="00381227">
        <w:rPr>
          <w:rFonts w:cstheme="minorHAnsi"/>
          <w:color w:val="000000"/>
          <w:sz w:val="20"/>
          <w:szCs w:val="20"/>
        </w:rPr>
        <w:t xml:space="preserve"> of a </w:t>
      </w:r>
      <w:r w:rsidRPr="00381227">
        <w:rPr>
          <w:rFonts w:cstheme="minorHAnsi"/>
          <w:i/>
          <w:color w:val="000000"/>
          <w:sz w:val="20"/>
          <w:szCs w:val="20"/>
        </w:rPr>
        <w:t>combined</w:t>
      </w:r>
      <w:r w:rsidRPr="00381227">
        <w:rPr>
          <w:rFonts w:cstheme="minorHAnsi"/>
          <w:color w:val="000000"/>
          <w:sz w:val="20"/>
          <w:szCs w:val="20"/>
        </w:rPr>
        <w:t xml:space="preserve"> 16.67% (with in-kind volunteer time) of the total value of the Project.  </w:t>
      </w:r>
    </w:p>
    <w:p w:rsidR="00381227" w:rsidRPr="00381227" w:rsidRDefault="00381227" w:rsidP="00381227">
      <w:pPr>
        <w:pStyle w:val="ListParagraph"/>
        <w:numPr>
          <w:ilvl w:val="0"/>
          <w:numId w:val="7"/>
        </w:numPr>
        <w:spacing w:after="0" w:line="226" w:lineRule="auto"/>
        <w:rPr>
          <w:rFonts w:cstheme="minorHAnsi"/>
          <w:color w:val="000000"/>
          <w:sz w:val="20"/>
          <w:szCs w:val="20"/>
        </w:rPr>
      </w:pPr>
      <w:r w:rsidRPr="00381227">
        <w:rPr>
          <w:rFonts w:cstheme="minorHAnsi"/>
          <w:color w:val="000000"/>
          <w:sz w:val="20"/>
          <w:szCs w:val="20"/>
          <w:u w:val="single"/>
        </w:rPr>
        <w:t>Other Sources, Including Public Sector Grants</w:t>
      </w:r>
      <w:r w:rsidRPr="00381227">
        <w:rPr>
          <w:rFonts w:cstheme="minorHAnsi"/>
          <w:color w:val="000000"/>
          <w:sz w:val="20"/>
          <w:szCs w:val="20"/>
        </w:rPr>
        <w:t xml:space="preserve">.  Accumulation of other sources, such as additional private sector cash, city, county, state, federal or other governmental grants, starts on the date the Project is first approved by </w:t>
      </w:r>
      <w:r w:rsidR="009D672B">
        <w:rPr>
          <w:rFonts w:cstheme="minorHAnsi"/>
          <w:color w:val="000000"/>
          <w:sz w:val="20"/>
          <w:szCs w:val="20"/>
        </w:rPr>
        <w:t>LHMRR</w:t>
      </w:r>
      <w:r w:rsidRPr="00381227">
        <w:rPr>
          <w:rFonts w:cstheme="minorHAnsi"/>
          <w:color w:val="000000"/>
          <w:sz w:val="20"/>
          <w:szCs w:val="20"/>
        </w:rPr>
        <w:t xml:space="preserve">.  </w:t>
      </w:r>
      <w:r w:rsidR="009D672B">
        <w:rPr>
          <w:rFonts w:cstheme="minorHAnsi"/>
          <w:color w:val="000000"/>
          <w:sz w:val="20"/>
          <w:szCs w:val="20"/>
        </w:rPr>
        <w:t>Other</w:t>
      </w:r>
      <w:r w:rsidRPr="00381227">
        <w:rPr>
          <w:rFonts w:cstheme="minorHAnsi"/>
          <w:color w:val="000000"/>
          <w:sz w:val="20"/>
          <w:szCs w:val="20"/>
        </w:rPr>
        <w:t xml:space="preserve"> sources (such as city, county, state, federal or other governmental grants) accumulat</w:t>
      </w:r>
      <w:r w:rsidR="009D672B">
        <w:rPr>
          <w:rFonts w:cstheme="minorHAnsi"/>
          <w:color w:val="000000"/>
          <w:sz w:val="20"/>
          <w:szCs w:val="20"/>
        </w:rPr>
        <w:t>ed</w:t>
      </w:r>
      <w:r w:rsidRPr="00381227">
        <w:rPr>
          <w:rFonts w:cstheme="minorHAnsi"/>
          <w:color w:val="000000"/>
          <w:sz w:val="20"/>
          <w:szCs w:val="20"/>
        </w:rPr>
        <w:t xml:space="preserve"> include governmental cash in US Dollars, totaling a </w:t>
      </w:r>
      <w:r w:rsidRPr="00381227">
        <w:rPr>
          <w:rFonts w:cstheme="minorHAnsi"/>
          <w:i/>
          <w:color w:val="000000"/>
          <w:sz w:val="20"/>
          <w:szCs w:val="20"/>
        </w:rPr>
        <w:t>maximum</w:t>
      </w:r>
      <w:r w:rsidRPr="00381227">
        <w:rPr>
          <w:rFonts w:cstheme="minorHAnsi"/>
          <w:color w:val="000000"/>
          <w:sz w:val="20"/>
          <w:szCs w:val="20"/>
        </w:rPr>
        <w:t xml:space="preserve"> of 66.67% of the total value of the Project.  </w:t>
      </w:r>
    </w:p>
    <w:p w:rsidR="00381227" w:rsidRPr="00381227" w:rsidRDefault="00381227" w:rsidP="00381227">
      <w:pPr>
        <w:spacing w:line="226" w:lineRule="auto"/>
        <w:rPr>
          <w:rFonts w:cstheme="minorHAnsi"/>
          <w:color w:val="000000"/>
          <w:sz w:val="20"/>
          <w:szCs w:val="20"/>
        </w:rPr>
      </w:pPr>
    </w:p>
    <w:p w:rsidR="00381227" w:rsidRPr="00381227" w:rsidRDefault="00381227" w:rsidP="00381227">
      <w:pPr>
        <w:rPr>
          <w:sz w:val="20"/>
          <w:szCs w:val="20"/>
        </w:rPr>
      </w:pPr>
      <w:r w:rsidRPr="00381227">
        <w:rPr>
          <w:sz w:val="20"/>
          <w:szCs w:val="20"/>
        </w:rPr>
        <w:t xml:space="preserve">On behalf of the applicant organization, I certify that to the best of my knowledge the information contained in this application is correct and complete, and that I am authorized to sign on behalf of the organization.  </w:t>
      </w:r>
    </w:p>
    <w:p w:rsidR="00381227" w:rsidRDefault="00381227" w:rsidP="00381227">
      <w:pPr>
        <w:spacing w:after="0"/>
        <w:rPr>
          <w:b/>
          <w:sz w:val="20"/>
          <w:szCs w:val="20"/>
          <w:u w:val="single"/>
        </w:rPr>
      </w:pPr>
    </w:p>
    <w:p w:rsidR="00381227" w:rsidRDefault="00381227" w:rsidP="00381227">
      <w:pPr>
        <w:spacing w:after="0"/>
        <w:rPr>
          <w:b/>
          <w:sz w:val="20"/>
          <w:szCs w:val="20"/>
          <w:u w:val="single"/>
        </w:rPr>
      </w:pPr>
    </w:p>
    <w:p w:rsidR="00381227" w:rsidRPr="00381227" w:rsidRDefault="00381227" w:rsidP="00381227">
      <w:pPr>
        <w:spacing w:after="0"/>
        <w:rPr>
          <w:b/>
          <w:sz w:val="20"/>
          <w:szCs w:val="20"/>
          <w:u w:val="single"/>
        </w:rPr>
      </w:pPr>
      <w:r w:rsidRPr="00381227">
        <w:rPr>
          <w:b/>
          <w:sz w:val="20"/>
          <w:szCs w:val="20"/>
          <w:u w:val="single"/>
        </w:rPr>
        <w:tab/>
      </w:r>
      <w:r w:rsidRPr="00381227">
        <w:rPr>
          <w:b/>
          <w:sz w:val="20"/>
          <w:szCs w:val="20"/>
          <w:u w:val="single"/>
        </w:rPr>
        <w:tab/>
      </w:r>
      <w:r w:rsidRPr="00381227">
        <w:rPr>
          <w:b/>
          <w:sz w:val="20"/>
          <w:szCs w:val="20"/>
          <w:u w:val="single"/>
        </w:rPr>
        <w:tab/>
      </w:r>
      <w:r w:rsidRPr="00381227">
        <w:rPr>
          <w:b/>
          <w:sz w:val="20"/>
          <w:szCs w:val="20"/>
          <w:u w:val="single"/>
        </w:rPr>
        <w:tab/>
      </w:r>
      <w:r w:rsidRPr="00381227">
        <w:rPr>
          <w:b/>
          <w:sz w:val="20"/>
          <w:szCs w:val="20"/>
          <w:u w:val="single"/>
        </w:rPr>
        <w:tab/>
      </w:r>
      <w:r w:rsidRPr="00381227">
        <w:rPr>
          <w:b/>
          <w:sz w:val="20"/>
          <w:szCs w:val="20"/>
          <w:u w:val="single"/>
        </w:rPr>
        <w:tab/>
      </w:r>
      <w:r w:rsidRPr="00381227">
        <w:rPr>
          <w:b/>
          <w:sz w:val="20"/>
          <w:szCs w:val="20"/>
          <w:u w:val="single"/>
        </w:rPr>
        <w:tab/>
      </w:r>
      <w:r w:rsidRPr="00381227">
        <w:rPr>
          <w:b/>
          <w:sz w:val="20"/>
          <w:szCs w:val="20"/>
          <w:u w:val="single"/>
        </w:rPr>
        <w:tab/>
      </w:r>
      <w:r w:rsidRPr="00381227">
        <w:rPr>
          <w:sz w:val="20"/>
          <w:szCs w:val="20"/>
        </w:rPr>
        <w:tab/>
      </w:r>
      <w:r w:rsidRPr="00381227">
        <w:rPr>
          <w:sz w:val="20"/>
          <w:szCs w:val="20"/>
        </w:rPr>
        <w:tab/>
      </w:r>
      <w:r w:rsidRPr="00381227">
        <w:rPr>
          <w:b/>
          <w:sz w:val="20"/>
          <w:szCs w:val="20"/>
          <w:u w:val="single"/>
        </w:rPr>
        <w:tab/>
      </w:r>
      <w:r w:rsidRPr="00381227">
        <w:rPr>
          <w:b/>
          <w:sz w:val="20"/>
          <w:szCs w:val="20"/>
          <w:u w:val="single"/>
        </w:rPr>
        <w:tab/>
      </w:r>
      <w:r w:rsidRPr="00381227">
        <w:rPr>
          <w:b/>
          <w:sz w:val="20"/>
          <w:szCs w:val="20"/>
          <w:u w:val="single"/>
        </w:rPr>
        <w:tab/>
      </w:r>
    </w:p>
    <w:p w:rsidR="00381227" w:rsidRPr="00381227" w:rsidRDefault="00381227" w:rsidP="00381227">
      <w:pPr>
        <w:rPr>
          <w:b/>
          <w:sz w:val="20"/>
          <w:szCs w:val="20"/>
        </w:rPr>
      </w:pPr>
      <w:r w:rsidRPr="00381227">
        <w:rPr>
          <w:b/>
          <w:sz w:val="20"/>
          <w:szCs w:val="20"/>
        </w:rPr>
        <w:t>Signature &amp; Title of Authorized Representative</w:t>
      </w:r>
      <w:r w:rsidRPr="00381227">
        <w:rPr>
          <w:b/>
          <w:sz w:val="20"/>
          <w:szCs w:val="20"/>
        </w:rPr>
        <w:tab/>
      </w:r>
      <w:r w:rsidRPr="00381227">
        <w:rPr>
          <w:b/>
          <w:sz w:val="20"/>
          <w:szCs w:val="20"/>
        </w:rPr>
        <w:tab/>
      </w:r>
      <w:r w:rsidRPr="00381227">
        <w:rPr>
          <w:b/>
          <w:sz w:val="20"/>
          <w:szCs w:val="20"/>
        </w:rPr>
        <w:tab/>
      </w:r>
      <w:r w:rsidRPr="00381227">
        <w:rPr>
          <w:b/>
          <w:sz w:val="20"/>
          <w:szCs w:val="20"/>
        </w:rPr>
        <w:tab/>
      </w:r>
      <w:r w:rsidRPr="00381227">
        <w:rPr>
          <w:b/>
          <w:sz w:val="20"/>
          <w:szCs w:val="20"/>
        </w:rPr>
        <w:tab/>
      </w:r>
      <w:r w:rsidRPr="00381227">
        <w:rPr>
          <w:b/>
          <w:sz w:val="20"/>
          <w:szCs w:val="20"/>
        </w:rPr>
        <w:tab/>
        <w:t>Date</w:t>
      </w:r>
    </w:p>
    <w:p w:rsidR="00381227" w:rsidRPr="00381227" w:rsidRDefault="00381227" w:rsidP="00203D21">
      <w:pPr>
        <w:rPr>
          <w:b/>
          <w:sz w:val="20"/>
          <w:szCs w:val="20"/>
        </w:rPr>
      </w:pPr>
    </w:p>
    <w:sectPr w:rsidR="00381227" w:rsidRPr="00381227" w:rsidSect="003F3BA3">
      <w:headerReference w:type="default" r:id="rId11"/>
      <w:headerReference w:type="first" r:id="rId12"/>
      <w:pgSz w:w="12240" w:h="15840"/>
      <w:pgMar w:top="907"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C8" w:rsidRDefault="00F40DC8" w:rsidP="00F40DC8">
      <w:pPr>
        <w:spacing w:after="0" w:line="240" w:lineRule="auto"/>
      </w:pPr>
      <w:r>
        <w:separator/>
      </w:r>
    </w:p>
  </w:endnote>
  <w:endnote w:type="continuationSeparator" w:id="0">
    <w:p w:rsidR="00F40DC8" w:rsidRDefault="00F40DC8" w:rsidP="00F4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C8" w:rsidRDefault="00F40DC8" w:rsidP="00F40DC8">
      <w:pPr>
        <w:spacing w:after="0" w:line="240" w:lineRule="auto"/>
      </w:pPr>
      <w:r>
        <w:separator/>
      </w:r>
    </w:p>
  </w:footnote>
  <w:footnote w:type="continuationSeparator" w:id="0">
    <w:p w:rsidR="00F40DC8" w:rsidRDefault="00F40DC8" w:rsidP="00F4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27" w:rsidRPr="00381227" w:rsidRDefault="00381227">
    <w:pPr>
      <w:pStyle w:val="Header"/>
      <w:rPr>
        <w:b/>
        <w:i/>
      </w:rPr>
    </w:pPr>
    <w:r w:rsidRPr="00381227">
      <w:rPr>
        <w:b/>
        <w:i/>
      </w:rPr>
      <w:t>Loess Hills Missouri River Region Project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25" w:rsidRDefault="003F3BA3" w:rsidP="003F3BA3">
    <w:pPr>
      <w:pStyle w:val="Header"/>
      <w:jc w:val="right"/>
    </w:pPr>
    <w:r>
      <w:rPr>
        <w:noProof/>
      </w:rPr>
      <w:drawing>
        <wp:anchor distT="0" distB="0" distL="114300" distR="114300" simplePos="0" relativeHeight="251661312" behindDoc="1" locked="0" layoutInCell="1" allowOverlap="1" wp14:anchorId="263182BB" wp14:editId="54710192">
          <wp:simplePos x="0" y="0"/>
          <wp:positionH relativeFrom="column">
            <wp:posOffset>-635</wp:posOffset>
          </wp:positionH>
          <wp:positionV relativeFrom="paragraph">
            <wp:posOffset>-28575</wp:posOffset>
          </wp:positionV>
          <wp:extent cx="6048375" cy="398780"/>
          <wp:effectExtent l="0" t="0" r="9525" b="1270"/>
          <wp:wrapThrough wrapText="bothSides">
            <wp:wrapPolygon edited="0">
              <wp:start x="0" y="0"/>
              <wp:lineTo x="0" y="17541"/>
              <wp:lineTo x="13742" y="20637"/>
              <wp:lineTo x="19389" y="20637"/>
              <wp:lineTo x="21566" y="20637"/>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375" cy="39878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rsidR="00A76325" w:rsidRDefault="00A76325" w:rsidP="003F3BA3">
    <w:pPr>
      <w:pStyle w:val="Header"/>
      <w:jc w:val="right"/>
    </w:pPr>
  </w:p>
  <w:p w:rsidR="003F3BA3" w:rsidRDefault="003F3BA3" w:rsidP="00A76325">
    <w:pPr>
      <w:pStyle w:val="Header"/>
      <w:rPr>
        <w:b/>
        <w:color w:val="0070C0"/>
        <w:sz w:val="32"/>
        <w:szCs w:val="32"/>
      </w:rPr>
    </w:pPr>
    <w:r w:rsidRPr="00592707">
      <w:rPr>
        <w:b/>
        <w:color w:val="0070C0"/>
        <w:sz w:val="32"/>
        <w:szCs w:val="32"/>
      </w:rPr>
      <w:t xml:space="preserve">Loess Hills Missouri River Region </w:t>
    </w:r>
    <w:r>
      <w:rPr>
        <w:b/>
        <w:color w:val="0070C0"/>
        <w:sz w:val="32"/>
        <w:szCs w:val="32"/>
      </w:rPr>
      <w:t>Parks to People</w:t>
    </w:r>
  </w:p>
  <w:p w:rsidR="003F3BA3" w:rsidRDefault="003F3BA3" w:rsidP="00A76325">
    <w:pPr>
      <w:pStyle w:val="Header"/>
    </w:pPr>
    <w:r>
      <w:rPr>
        <w:b/>
        <w:color w:val="0070C0"/>
        <w:sz w:val="32"/>
        <w:szCs w:val="32"/>
      </w:rPr>
      <w:t>REQUEST FOR FUNDING CONSIDERATION</w:t>
    </w:r>
  </w:p>
  <w:p w:rsidR="003F3BA3" w:rsidRDefault="003F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3E2"/>
    <w:multiLevelType w:val="hybridMultilevel"/>
    <w:tmpl w:val="8354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780"/>
    <w:multiLevelType w:val="hybridMultilevel"/>
    <w:tmpl w:val="93E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4067"/>
    <w:multiLevelType w:val="hybridMultilevel"/>
    <w:tmpl w:val="B6F45602"/>
    <w:lvl w:ilvl="0" w:tplc="4DDC65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93CDD"/>
    <w:multiLevelType w:val="hybridMultilevel"/>
    <w:tmpl w:val="4476F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115DE"/>
    <w:multiLevelType w:val="hybridMultilevel"/>
    <w:tmpl w:val="B5A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B69E1"/>
    <w:multiLevelType w:val="hybridMultilevel"/>
    <w:tmpl w:val="36F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D3609E"/>
    <w:multiLevelType w:val="hybridMultilevel"/>
    <w:tmpl w:val="E4841B1A"/>
    <w:lvl w:ilvl="0" w:tplc="90DE2D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C0"/>
    <w:rsid w:val="00083AE1"/>
    <w:rsid w:val="0008593B"/>
    <w:rsid w:val="000A56D4"/>
    <w:rsid w:val="000D6F21"/>
    <w:rsid w:val="000E3BEC"/>
    <w:rsid w:val="00203D21"/>
    <w:rsid w:val="002B110E"/>
    <w:rsid w:val="003554DE"/>
    <w:rsid w:val="00367CB1"/>
    <w:rsid w:val="00381227"/>
    <w:rsid w:val="003F3BA3"/>
    <w:rsid w:val="004533FC"/>
    <w:rsid w:val="00481157"/>
    <w:rsid w:val="0054268E"/>
    <w:rsid w:val="00592707"/>
    <w:rsid w:val="006239F8"/>
    <w:rsid w:val="006327C5"/>
    <w:rsid w:val="006A0685"/>
    <w:rsid w:val="0071193F"/>
    <w:rsid w:val="00733105"/>
    <w:rsid w:val="007D21A4"/>
    <w:rsid w:val="008218F7"/>
    <w:rsid w:val="00887F86"/>
    <w:rsid w:val="008D6C66"/>
    <w:rsid w:val="008E7681"/>
    <w:rsid w:val="009603C0"/>
    <w:rsid w:val="0097747E"/>
    <w:rsid w:val="009D53FD"/>
    <w:rsid w:val="009D672B"/>
    <w:rsid w:val="00A76325"/>
    <w:rsid w:val="00B636D0"/>
    <w:rsid w:val="00BC588A"/>
    <w:rsid w:val="00BD1628"/>
    <w:rsid w:val="00C91C74"/>
    <w:rsid w:val="00CF1437"/>
    <w:rsid w:val="00D624C2"/>
    <w:rsid w:val="00DA6620"/>
    <w:rsid w:val="00E410A6"/>
    <w:rsid w:val="00ED50D7"/>
    <w:rsid w:val="00EF7919"/>
    <w:rsid w:val="00F40DC8"/>
    <w:rsid w:val="00FA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D120BD-C9F2-4D99-99E1-3FFE804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03C0"/>
    <w:pPr>
      <w:spacing w:after="0" w:line="240" w:lineRule="auto"/>
    </w:pPr>
    <w:rPr>
      <w:rFonts w:eastAsiaTheme="minorEastAsia"/>
    </w:rPr>
  </w:style>
  <w:style w:type="character" w:customStyle="1" w:styleId="NoSpacingChar">
    <w:name w:val="No Spacing Char"/>
    <w:basedOn w:val="DefaultParagraphFont"/>
    <w:link w:val="NoSpacing"/>
    <w:uiPriority w:val="1"/>
    <w:rsid w:val="009603C0"/>
    <w:rPr>
      <w:rFonts w:eastAsiaTheme="minorEastAsia"/>
    </w:rPr>
  </w:style>
  <w:style w:type="paragraph" w:styleId="ListParagraph">
    <w:name w:val="List Paragraph"/>
    <w:basedOn w:val="Normal"/>
    <w:uiPriority w:val="34"/>
    <w:qFormat/>
    <w:rsid w:val="00FA7028"/>
    <w:pPr>
      <w:ind w:left="720"/>
      <w:contextualSpacing/>
    </w:pPr>
  </w:style>
  <w:style w:type="character" w:styleId="Hyperlink">
    <w:name w:val="Hyperlink"/>
    <w:basedOn w:val="DefaultParagraphFont"/>
    <w:uiPriority w:val="99"/>
    <w:unhideWhenUsed/>
    <w:rsid w:val="00FA7028"/>
    <w:rPr>
      <w:color w:val="0563C1" w:themeColor="hyperlink"/>
      <w:u w:val="single"/>
    </w:rPr>
  </w:style>
  <w:style w:type="paragraph" w:styleId="BalloonText">
    <w:name w:val="Balloon Text"/>
    <w:basedOn w:val="Normal"/>
    <w:link w:val="BalloonTextChar"/>
    <w:uiPriority w:val="99"/>
    <w:semiHidden/>
    <w:unhideWhenUsed/>
    <w:rsid w:val="000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B"/>
    <w:rPr>
      <w:rFonts w:ascii="Segoe UI" w:hAnsi="Segoe UI" w:cs="Segoe UI"/>
      <w:sz w:val="18"/>
      <w:szCs w:val="18"/>
    </w:rPr>
  </w:style>
  <w:style w:type="character" w:styleId="PlaceholderText">
    <w:name w:val="Placeholder Text"/>
    <w:basedOn w:val="DefaultParagraphFont"/>
    <w:uiPriority w:val="99"/>
    <w:semiHidden/>
    <w:rsid w:val="00367CB1"/>
    <w:rPr>
      <w:color w:val="808080"/>
    </w:rPr>
  </w:style>
  <w:style w:type="paragraph" w:styleId="Header">
    <w:name w:val="header"/>
    <w:basedOn w:val="Normal"/>
    <w:link w:val="HeaderChar"/>
    <w:uiPriority w:val="99"/>
    <w:unhideWhenUsed/>
    <w:rsid w:val="00F4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C8"/>
  </w:style>
  <w:style w:type="paragraph" w:styleId="Footer">
    <w:name w:val="footer"/>
    <w:basedOn w:val="Normal"/>
    <w:link w:val="FooterChar"/>
    <w:uiPriority w:val="99"/>
    <w:unhideWhenUsed/>
    <w:rsid w:val="00F4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C8"/>
  </w:style>
  <w:style w:type="table" w:styleId="TableGrid">
    <w:name w:val="Table Grid"/>
    <w:basedOn w:val="TableNormal"/>
    <w:uiPriority w:val="39"/>
    <w:rsid w:val="0071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7441">
      <w:bodyDiv w:val="1"/>
      <w:marLeft w:val="0"/>
      <w:marRight w:val="0"/>
      <w:marTop w:val="0"/>
      <w:marBottom w:val="0"/>
      <w:divBdr>
        <w:top w:val="none" w:sz="0" w:space="0" w:color="auto"/>
        <w:left w:val="none" w:sz="0" w:space="0" w:color="auto"/>
        <w:bottom w:val="none" w:sz="0" w:space="0" w:color="auto"/>
        <w:right w:val="none" w:sz="0" w:space="0" w:color="auto"/>
      </w:divBdr>
    </w:div>
    <w:div w:id="1997757382">
      <w:bodyDiv w:val="1"/>
      <w:marLeft w:val="0"/>
      <w:marRight w:val="0"/>
      <w:marTop w:val="0"/>
      <w:marBottom w:val="0"/>
      <w:divBdr>
        <w:top w:val="none" w:sz="0" w:space="0" w:color="auto"/>
        <w:left w:val="none" w:sz="0" w:space="0" w:color="auto"/>
        <w:bottom w:val="none" w:sz="0" w:space="0" w:color="auto"/>
        <w:right w:val="none" w:sz="0" w:space="0" w:color="auto"/>
      </w:divBdr>
      <w:divsChild>
        <w:div w:id="241843078">
          <w:marLeft w:val="360"/>
          <w:marRight w:val="0"/>
          <w:marTop w:val="200"/>
          <w:marBottom w:val="0"/>
          <w:divBdr>
            <w:top w:val="none" w:sz="0" w:space="0" w:color="auto"/>
            <w:left w:val="none" w:sz="0" w:space="0" w:color="auto"/>
            <w:bottom w:val="none" w:sz="0" w:space="0" w:color="auto"/>
            <w:right w:val="none" w:sz="0" w:space="0" w:color="auto"/>
          </w:divBdr>
        </w:div>
        <w:div w:id="1842426716">
          <w:marLeft w:val="360"/>
          <w:marRight w:val="0"/>
          <w:marTop w:val="200"/>
          <w:marBottom w:val="0"/>
          <w:divBdr>
            <w:top w:val="none" w:sz="0" w:space="0" w:color="auto"/>
            <w:left w:val="none" w:sz="0" w:space="0" w:color="auto"/>
            <w:bottom w:val="none" w:sz="0" w:space="0" w:color="auto"/>
            <w:right w:val="none" w:sz="0" w:space="0" w:color="auto"/>
          </w:divBdr>
        </w:div>
        <w:div w:id="1712076944">
          <w:marLeft w:val="360"/>
          <w:marRight w:val="0"/>
          <w:marTop w:val="200"/>
          <w:marBottom w:val="0"/>
          <w:divBdr>
            <w:top w:val="none" w:sz="0" w:space="0" w:color="auto"/>
            <w:left w:val="none" w:sz="0" w:space="0" w:color="auto"/>
            <w:bottom w:val="none" w:sz="0" w:space="0" w:color="auto"/>
            <w:right w:val="none" w:sz="0" w:space="0" w:color="auto"/>
          </w:divBdr>
        </w:div>
        <w:div w:id="1444113573">
          <w:marLeft w:val="360"/>
          <w:marRight w:val="0"/>
          <w:marTop w:val="200"/>
          <w:marBottom w:val="0"/>
          <w:divBdr>
            <w:top w:val="none" w:sz="0" w:space="0" w:color="auto"/>
            <w:left w:val="none" w:sz="0" w:space="0" w:color="auto"/>
            <w:bottom w:val="none" w:sz="0" w:space="0" w:color="auto"/>
            <w:right w:val="none" w:sz="0" w:space="0" w:color="auto"/>
          </w:divBdr>
        </w:div>
        <w:div w:id="954752985">
          <w:marLeft w:val="360"/>
          <w:marRight w:val="0"/>
          <w:marTop w:val="200"/>
          <w:marBottom w:val="0"/>
          <w:divBdr>
            <w:top w:val="none" w:sz="0" w:space="0" w:color="auto"/>
            <w:left w:val="none" w:sz="0" w:space="0" w:color="auto"/>
            <w:bottom w:val="none" w:sz="0" w:space="0" w:color="auto"/>
            <w:right w:val="none" w:sz="0" w:space="0" w:color="auto"/>
          </w:divBdr>
        </w:div>
        <w:div w:id="1089351934">
          <w:marLeft w:val="360"/>
          <w:marRight w:val="0"/>
          <w:marTop w:val="200"/>
          <w:marBottom w:val="0"/>
          <w:divBdr>
            <w:top w:val="none" w:sz="0" w:space="0" w:color="auto"/>
            <w:left w:val="none" w:sz="0" w:space="0" w:color="auto"/>
            <w:bottom w:val="none" w:sz="0" w:space="0" w:color="auto"/>
            <w:right w:val="none" w:sz="0" w:space="0" w:color="auto"/>
          </w:divBdr>
        </w:div>
        <w:div w:id="1137606093">
          <w:marLeft w:val="360"/>
          <w:marRight w:val="0"/>
          <w:marTop w:val="200"/>
          <w:marBottom w:val="0"/>
          <w:divBdr>
            <w:top w:val="none" w:sz="0" w:space="0" w:color="auto"/>
            <w:left w:val="none" w:sz="0" w:space="0" w:color="auto"/>
            <w:bottom w:val="none" w:sz="0" w:space="0" w:color="auto"/>
            <w:right w:val="none" w:sz="0" w:space="0" w:color="auto"/>
          </w:divBdr>
        </w:div>
        <w:div w:id="2133162900">
          <w:marLeft w:val="360"/>
          <w:marRight w:val="0"/>
          <w:marTop w:val="200"/>
          <w:marBottom w:val="0"/>
          <w:divBdr>
            <w:top w:val="none" w:sz="0" w:space="0" w:color="auto"/>
            <w:left w:val="none" w:sz="0" w:space="0" w:color="auto"/>
            <w:bottom w:val="none" w:sz="0" w:space="0" w:color="auto"/>
            <w:right w:val="none" w:sz="0" w:space="0" w:color="auto"/>
          </w:divBdr>
        </w:div>
        <w:div w:id="411779267">
          <w:marLeft w:val="360"/>
          <w:marRight w:val="0"/>
          <w:marTop w:val="200"/>
          <w:marBottom w:val="0"/>
          <w:divBdr>
            <w:top w:val="none" w:sz="0" w:space="0" w:color="auto"/>
            <w:left w:val="none" w:sz="0" w:space="0" w:color="auto"/>
            <w:bottom w:val="none" w:sz="0" w:space="0" w:color="auto"/>
            <w:right w:val="none" w:sz="0" w:space="0" w:color="auto"/>
          </w:divBdr>
        </w:div>
        <w:div w:id="1242521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hillsrcd.org/lhmr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ldenhillsrcd.org/lhmrr" TargetMode="External"/><Relationship Id="rId4" Type="http://schemas.openxmlformats.org/officeDocument/2006/relationships/settings" Target="settings.xml"/><Relationship Id="rId9" Type="http://schemas.openxmlformats.org/officeDocument/2006/relationships/hyperlink" Target="mailto:michelle@goldenhillsrcd.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AA1B-FF4A-48A0-874E-0A87E260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Golden Hills RC&amp;D</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Franks</dc:creator>
  <cp:lastModifiedBy>Lance Brisbois</cp:lastModifiedBy>
  <cp:revision>7</cp:revision>
  <cp:lastPrinted>2018-07-26T19:19:00Z</cp:lastPrinted>
  <dcterms:created xsi:type="dcterms:W3CDTF">2018-06-21T22:18:00Z</dcterms:created>
  <dcterms:modified xsi:type="dcterms:W3CDTF">2018-08-23T19:34:00Z</dcterms:modified>
</cp:coreProperties>
</file>